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single" w:color="717171" w:sz="12" w:space="0"/>
        </w:pBdr>
        <w:shd w:val="clear" w:fill="FFFFFF"/>
        <w:kinsoku/>
        <w:wordWrap/>
        <w:overflowPunct/>
        <w:topLinePunct w:val="0"/>
        <w:autoSpaceDE/>
        <w:autoSpaceDN/>
        <w:bidi w:val="0"/>
        <w:adjustRightInd/>
        <w:snapToGrid/>
        <w:spacing w:line="640" w:lineRule="exact"/>
        <w:ind w:left="0" w:firstLine="0"/>
        <w:jc w:val="center"/>
        <w:textAlignment w:val="auto"/>
        <w:rPr>
          <w:rFonts w:ascii="微软雅黑" w:hAnsi="微软雅黑" w:eastAsia="微软雅黑" w:cs="微软雅黑"/>
          <w:i w:val="0"/>
          <w:caps w:val="0"/>
          <w:color w:val="000000"/>
          <w:spacing w:val="0"/>
          <w:sz w:val="37"/>
          <w:szCs w:val="37"/>
        </w:rPr>
      </w:pPr>
      <w:r>
        <w:rPr>
          <w:rFonts w:hint="eastAsia" w:ascii="微软雅黑" w:hAnsi="微软雅黑" w:eastAsia="微软雅黑" w:cs="微软雅黑"/>
          <w:i w:val="0"/>
          <w:caps w:val="0"/>
          <w:color w:val="000000"/>
          <w:spacing w:val="0"/>
          <w:kern w:val="0"/>
          <w:sz w:val="37"/>
          <w:szCs w:val="37"/>
          <w:shd w:val="clear" w:fill="FFFFFF"/>
          <w:lang w:val="en-US" w:eastAsia="zh-CN" w:bidi="ar"/>
        </w:rPr>
        <w:t>省教育厅关于印发江苏省新建高等职业院校人才培养工作评估实施方案（2018年修订）的通知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shd w:val="clear" w:fill="FFFFFF"/>
        </w:rPr>
        <w:t>苏教高〔2018〕18号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各有关高等职业院校：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为贯彻全国教育大会精神，根据《国务院关于加快发展现代职业教育的决定》（国发〔2014〕19号）中“定期开展职业院校办学水平和专业教学情况评估”的精神和教育部《关于印发高等职业院校人才培养工作评估方案的通知》（教高〔2008〕5号）中“高等职业院校自有毕业生起至有3届毕业生前必须参加一次人才培养评估”的要求，做好新建高等职业院校人才培养工作评估工作，在总结以往高等职业院校人才培养工作评估经验的基础上，经调研论证，省教育厅对评估程序、评估指标体系、评估结果确定等方面进行了优化和完善。现将修订后的《江苏省新建高等职业院校人才培养工作评估实施方案》印发给你们，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 xml:space="preserve">                                                        </w:t>
      </w:r>
      <w:r>
        <w:rPr>
          <w:rFonts w:hint="eastAsia" w:eastAsia="仿宋_GB2312" w:cs="Times New Roman"/>
          <w:kern w:val="2"/>
          <w:sz w:val="30"/>
          <w:szCs w:val="30"/>
          <w:lang w:val="en-US" w:eastAsia="zh-CN" w:bidi="ar-SA"/>
        </w:rPr>
        <w:t xml:space="preserve"> </w:t>
      </w:r>
      <w:r>
        <w:rPr>
          <w:rFonts w:hint="eastAsia" w:ascii="Times New Roman" w:hAnsi="Times New Roman" w:eastAsia="仿宋_GB2312" w:cs="Times New Roman"/>
          <w:kern w:val="2"/>
          <w:sz w:val="30"/>
          <w:szCs w:val="30"/>
          <w:lang w:val="en-US" w:eastAsia="zh-CN" w:bidi="ar-SA"/>
        </w:rPr>
        <w:t>省教育厅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2018年12月4日</w:t>
      </w:r>
    </w:p>
    <w:p>
      <w:pPr>
        <w:tabs>
          <w:tab w:val="left" w:pos="1080"/>
        </w:tabs>
        <w:spacing w:line="640" w:lineRule="exact"/>
        <w:jc w:val="left"/>
        <w:rPr>
          <w:rFonts w:eastAsia="黑体"/>
          <w:kern w:val="0"/>
          <w:sz w:val="28"/>
          <w:szCs w:val="28"/>
        </w:rPr>
      </w:pPr>
    </w:p>
    <w:p>
      <w:pPr>
        <w:tabs>
          <w:tab w:val="left" w:pos="1080"/>
        </w:tabs>
        <w:spacing w:line="640" w:lineRule="exact"/>
        <w:jc w:val="left"/>
        <w:rPr>
          <w:rFonts w:eastAsia="黑体"/>
          <w:kern w:val="0"/>
          <w:sz w:val="28"/>
          <w:szCs w:val="28"/>
        </w:rPr>
      </w:pPr>
    </w:p>
    <w:p>
      <w:pPr>
        <w:tabs>
          <w:tab w:val="left" w:pos="1080"/>
        </w:tabs>
        <w:spacing w:line="560" w:lineRule="exact"/>
        <w:jc w:val="both"/>
        <w:rPr>
          <w:rFonts w:eastAsia="方正小标宋简体"/>
          <w:b/>
          <w:kern w:val="0"/>
          <w:sz w:val="44"/>
          <w:szCs w:val="44"/>
        </w:rPr>
      </w:pPr>
    </w:p>
    <w:p>
      <w:pPr>
        <w:tabs>
          <w:tab w:val="left" w:pos="1080"/>
        </w:tabs>
        <w:spacing w:line="560" w:lineRule="exact"/>
        <w:jc w:val="center"/>
        <w:rPr>
          <w:rFonts w:eastAsia="方正小标宋简体"/>
          <w:b/>
          <w:kern w:val="0"/>
          <w:sz w:val="44"/>
          <w:szCs w:val="44"/>
        </w:rPr>
      </w:pPr>
      <w:r>
        <w:rPr>
          <w:rFonts w:eastAsia="方正小标宋简体"/>
          <w:b/>
          <w:kern w:val="0"/>
          <w:sz w:val="44"/>
          <w:szCs w:val="44"/>
        </w:rPr>
        <w:t>江苏省新建高等职业院校</w:t>
      </w:r>
    </w:p>
    <w:p>
      <w:pPr>
        <w:tabs>
          <w:tab w:val="left" w:pos="1080"/>
        </w:tabs>
        <w:spacing w:line="560" w:lineRule="exact"/>
        <w:jc w:val="center"/>
        <w:rPr>
          <w:rFonts w:eastAsia="方正小标宋简体"/>
          <w:b/>
          <w:kern w:val="0"/>
          <w:sz w:val="44"/>
          <w:szCs w:val="44"/>
        </w:rPr>
      </w:pPr>
      <w:r>
        <w:rPr>
          <w:rFonts w:eastAsia="方正小标宋简体"/>
          <w:b/>
          <w:kern w:val="0"/>
          <w:sz w:val="44"/>
          <w:szCs w:val="44"/>
        </w:rPr>
        <w:t>人才培养工作评估实施方案</w:t>
      </w:r>
    </w:p>
    <w:p>
      <w:pPr>
        <w:adjustRightInd w:val="0"/>
        <w:snapToGrid w:val="0"/>
        <w:spacing w:before="62" w:beforeLines="20" w:after="62" w:afterLines="20" w:line="520" w:lineRule="exact"/>
        <w:jc w:val="center"/>
        <w:rPr>
          <w:rFonts w:eastAsia="楷体_GB2312"/>
          <w:sz w:val="32"/>
          <w:szCs w:val="32"/>
        </w:rPr>
      </w:pPr>
      <w:r>
        <w:rPr>
          <w:rFonts w:eastAsia="楷体_GB2312"/>
          <w:sz w:val="32"/>
          <w:szCs w:val="32"/>
        </w:rPr>
        <w:t>（2018年修订）</w:t>
      </w:r>
    </w:p>
    <w:p>
      <w:pPr>
        <w:adjustRightInd w:val="0"/>
        <w:snapToGrid w:val="0"/>
        <w:spacing w:before="62" w:beforeLines="20" w:after="62" w:afterLines="20" w:line="520" w:lineRule="exact"/>
        <w:ind w:firstLine="600" w:firstLineChars="200"/>
        <w:rPr>
          <w:rFonts w:eastAsia="仿宋_GB2312"/>
          <w:bCs/>
          <w:sz w:val="30"/>
          <w:szCs w:val="30"/>
        </w:rPr>
      </w:pPr>
      <w:r>
        <w:rPr>
          <w:rFonts w:eastAsia="仿宋_GB2312"/>
          <w:sz w:val="30"/>
          <w:szCs w:val="30"/>
        </w:rPr>
        <w:t>为加强对新建高等职业院校人才培养工作的宏观管理，引导和督促新建高职院校遵循教育规律、规范办学行为、强化内涵建设，提高人才培养质量，有效服务经济社会和学生发展，依据《教育部关于印发高等职业院校人才培养工作评估方案的通知》（教高〔2008〕5号）、《教育部关于深化职业教育教学改革全面提高人才培养质量的若干意见》（教职成〔2015〕6号）、《教育部关于推进高等职业教育改革创新引领职业教育科学发展的若干意见》（教职成〔2011〕12号）和《省教育厅关于高等职业教育人才培养工作的意见》（苏教高〔2008〕16号）等文件精神，制订江苏省新建高职院校人才培养工作评估方案。</w:t>
      </w:r>
    </w:p>
    <w:p>
      <w:pPr>
        <w:adjustRightInd w:val="0"/>
        <w:snapToGrid w:val="0"/>
        <w:spacing w:before="62" w:beforeLines="20" w:after="62" w:afterLines="20" w:line="520" w:lineRule="exact"/>
        <w:ind w:firstLine="600" w:firstLineChars="200"/>
        <w:rPr>
          <w:rFonts w:eastAsia="黑体"/>
          <w:bCs/>
          <w:sz w:val="30"/>
          <w:szCs w:val="30"/>
        </w:rPr>
      </w:pPr>
      <w:r>
        <w:rPr>
          <w:rFonts w:eastAsia="黑体"/>
          <w:bCs/>
          <w:sz w:val="30"/>
          <w:szCs w:val="30"/>
        </w:rPr>
        <w:t>一、指导思想</w:t>
      </w:r>
    </w:p>
    <w:p>
      <w:pPr>
        <w:adjustRightInd w:val="0"/>
        <w:snapToGrid w:val="0"/>
        <w:spacing w:before="62" w:beforeLines="20" w:after="62" w:afterLines="20" w:line="520" w:lineRule="exact"/>
        <w:ind w:firstLine="600" w:firstLineChars="200"/>
        <w:rPr>
          <w:rFonts w:eastAsia="仿宋_GB2312"/>
          <w:sz w:val="30"/>
          <w:szCs w:val="30"/>
        </w:rPr>
      </w:pPr>
      <w:r>
        <w:rPr>
          <w:rFonts w:eastAsia="仿宋_GB2312"/>
          <w:sz w:val="30"/>
          <w:szCs w:val="30"/>
        </w:rPr>
        <w:t>以习近平新时代中国特色社会主义思想为统领，全面贯彻党的教育方针，贯彻落实全国教育大会精神，落实《国务院关于加快发展现代职业教育的决定》（国发〔2014〕19号）要求，坚持“以评促建、以评促改、以评促管、评建结合、重在建设”的工作方针，全面评估新建高职院校的人才培养条件、状态和质量，促进新建高职院校提高人才培养质量。</w:t>
      </w:r>
    </w:p>
    <w:p>
      <w:pPr>
        <w:adjustRightInd w:val="0"/>
        <w:snapToGrid w:val="0"/>
        <w:spacing w:before="62" w:beforeLines="20" w:after="62" w:afterLines="20" w:line="520" w:lineRule="exact"/>
        <w:ind w:firstLine="600" w:firstLineChars="200"/>
        <w:rPr>
          <w:rFonts w:eastAsia="黑体"/>
          <w:bCs/>
          <w:sz w:val="30"/>
          <w:szCs w:val="30"/>
        </w:rPr>
      </w:pPr>
      <w:r>
        <w:rPr>
          <w:rFonts w:eastAsia="黑体"/>
          <w:bCs/>
          <w:sz w:val="30"/>
          <w:szCs w:val="30"/>
        </w:rPr>
        <w:t>二、目标任务</w:t>
      </w:r>
    </w:p>
    <w:p>
      <w:pPr>
        <w:adjustRightInd w:val="0"/>
        <w:snapToGrid w:val="0"/>
        <w:spacing w:line="520" w:lineRule="exact"/>
        <w:ind w:firstLine="600" w:firstLineChars="200"/>
        <w:rPr>
          <w:rFonts w:eastAsia="仿宋_GB2312"/>
          <w:kern w:val="0"/>
          <w:sz w:val="30"/>
          <w:szCs w:val="30"/>
        </w:rPr>
      </w:pPr>
      <w:r>
        <w:rPr>
          <w:rFonts w:eastAsia="仿宋_GB2312"/>
          <w:kern w:val="0"/>
          <w:sz w:val="30"/>
          <w:szCs w:val="30"/>
        </w:rPr>
        <w:t>建立基于人才培养工作状态数据平台，学校评建、专家现场考察有机联动的机制，引导和帮助新建高职院校主动适应经济社会和学生发展需要，</w:t>
      </w:r>
      <w:r>
        <w:rPr>
          <w:rFonts w:eastAsia="仿宋_GB2312"/>
          <w:spacing w:val="4"/>
          <w:kern w:val="0"/>
          <w:sz w:val="30"/>
          <w:szCs w:val="30"/>
        </w:rPr>
        <w:t>加强基础建设</w:t>
      </w:r>
      <w:r>
        <w:rPr>
          <w:rFonts w:eastAsia="仿宋_GB2312"/>
          <w:kern w:val="0"/>
          <w:sz w:val="30"/>
          <w:szCs w:val="30"/>
        </w:rPr>
        <w:t>、改善办学条件，规范内部管理、依法自主办学，深化教育教学改革、保证人才培养质量，促进新建高职院校健康和可持续发展。主要任务包括以下几个方面：</w:t>
      </w:r>
    </w:p>
    <w:p>
      <w:pPr>
        <w:adjustRightInd w:val="0"/>
        <w:snapToGrid w:val="0"/>
        <w:spacing w:line="520" w:lineRule="exact"/>
        <w:ind w:firstLine="600" w:firstLineChars="200"/>
        <w:rPr>
          <w:rFonts w:eastAsia="仿宋_GB2312"/>
          <w:kern w:val="0"/>
          <w:sz w:val="30"/>
          <w:szCs w:val="30"/>
        </w:rPr>
      </w:pPr>
      <w:r>
        <w:rPr>
          <w:rFonts w:eastAsia="仿宋_GB2312"/>
          <w:kern w:val="0"/>
          <w:sz w:val="30"/>
          <w:szCs w:val="30"/>
        </w:rPr>
        <w:t>（一） 引导被评学校明确办学定位，立德树人，加大对人才培养投入，规范人才培养过程，关注利益相关者对人才质量的诉求，促进学校改善办学条件、规范办学过程、提高人才培养质量。</w:t>
      </w:r>
    </w:p>
    <w:p>
      <w:pPr>
        <w:adjustRightInd w:val="0"/>
        <w:snapToGrid w:val="0"/>
        <w:spacing w:line="520" w:lineRule="exact"/>
        <w:ind w:firstLine="600" w:firstLineChars="200"/>
        <w:rPr>
          <w:rFonts w:eastAsia="仿宋_GB2312"/>
          <w:kern w:val="0"/>
          <w:sz w:val="30"/>
          <w:szCs w:val="30"/>
        </w:rPr>
      </w:pPr>
      <w:r>
        <w:rPr>
          <w:rFonts w:eastAsia="仿宋_GB2312"/>
          <w:kern w:val="0"/>
          <w:sz w:val="30"/>
          <w:szCs w:val="30"/>
        </w:rPr>
        <w:t>（二） 围绕影响人才培养质量的关键因素，通过对《高等职业院校人才培养工作状态数据采集平台》数据的分析，辅以现场有重点的考察，了解被评学校人才培养工作的条件、状况和质量，对人才培养工作的主要方面做出分析和评价，提出改进意见和建议。</w:t>
      </w:r>
    </w:p>
    <w:p>
      <w:pPr>
        <w:adjustRightInd w:val="0"/>
        <w:snapToGrid w:val="0"/>
        <w:spacing w:line="520" w:lineRule="exact"/>
        <w:ind w:firstLine="600" w:firstLineChars="200"/>
        <w:rPr>
          <w:rFonts w:eastAsia="仿宋_GB2312"/>
          <w:kern w:val="0"/>
          <w:sz w:val="30"/>
          <w:szCs w:val="30"/>
        </w:rPr>
      </w:pPr>
      <w:r>
        <w:rPr>
          <w:rFonts w:eastAsia="仿宋_GB2312"/>
          <w:kern w:val="0"/>
          <w:sz w:val="30"/>
          <w:szCs w:val="30"/>
        </w:rPr>
        <w:t>（三）指导和督促学校遵循人才培养规律和质量生成规律，推进常态化内部质量保证体系建设，主动适应经济社会和学生发展，实现学校健康和可持续发展 。</w:t>
      </w:r>
    </w:p>
    <w:p>
      <w:pPr>
        <w:adjustRightInd w:val="0"/>
        <w:snapToGrid w:val="0"/>
        <w:spacing w:before="62" w:beforeLines="20" w:after="62" w:afterLines="20" w:line="520" w:lineRule="exact"/>
        <w:ind w:firstLine="600" w:firstLineChars="200"/>
        <w:rPr>
          <w:rFonts w:eastAsia="黑体"/>
          <w:bCs/>
          <w:sz w:val="30"/>
          <w:szCs w:val="30"/>
        </w:rPr>
      </w:pPr>
      <w:r>
        <w:rPr>
          <w:rFonts w:eastAsia="黑体"/>
          <w:bCs/>
          <w:sz w:val="30"/>
          <w:szCs w:val="30"/>
        </w:rPr>
        <w:t>三、基本原则</w:t>
      </w:r>
    </w:p>
    <w:p>
      <w:pPr>
        <w:adjustRightInd w:val="0"/>
        <w:snapToGrid w:val="0"/>
        <w:spacing w:line="312" w:lineRule="auto"/>
        <w:ind w:firstLine="602" w:firstLineChars="200"/>
        <w:rPr>
          <w:rFonts w:eastAsia="仿宋_GB2312"/>
          <w:b/>
          <w:kern w:val="0"/>
          <w:sz w:val="30"/>
          <w:szCs w:val="30"/>
        </w:rPr>
      </w:pPr>
      <w:r>
        <w:rPr>
          <w:rFonts w:eastAsia="仿宋_GB2312"/>
          <w:b/>
          <w:kern w:val="0"/>
          <w:sz w:val="30"/>
          <w:szCs w:val="30"/>
        </w:rPr>
        <w:t>（一）导向性原则</w:t>
      </w:r>
    </w:p>
    <w:p>
      <w:pPr>
        <w:adjustRightInd w:val="0"/>
        <w:snapToGrid w:val="0"/>
        <w:spacing w:line="312" w:lineRule="auto"/>
        <w:ind w:firstLine="600" w:firstLineChars="200"/>
        <w:rPr>
          <w:rFonts w:eastAsia="仿宋_GB2312"/>
          <w:kern w:val="0"/>
          <w:sz w:val="30"/>
          <w:szCs w:val="30"/>
        </w:rPr>
      </w:pPr>
      <w:r>
        <w:rPr>
          <w:rFonts w:eastAsia="仿宋_GB2312"/>
          <w:kern w:val="0"/>
          <w:sz w:val="30"/>
          <w:szCs w:val="30"/>
        </w:rPr>
        <w:t>准确把握和表述基本条件、基本规范、基本质量的内涵与标准，引导和促进院校举办方、教育行政部门和高等职业院校落实国家办学要求，改善办学条件、规范过程管理、提高人才培养质量。</w:t>
      </w:r>
    </w:p>
    <w:p>
      <w:pPr>
        <w:adjustRightInd w:val="0"/>
        <w:snapToGrid w:val="0"/>
        <w:spacing w:line="312" w:lineRule="auto"/>
        <w:ind w:firstLine="602" w:firstLineChars="200"/>
        <w:rPr>
          <w:rFonts w:eastAsia="仿宋_GB2312"/>
          <w:b/>
          <w:kern w:val="0"/>
          <w:sz w:val="30"/>
          <w:szCs w:val="30"/>
        </w:rPr>
      </w:pPr>
      <w:r>
        <w:rPr>
          <w:rFonts w:eastAsia="仿宋_GB2312"/>
          <w:b/>
          <w:kern w:val="0"/>
          <w:sz w:val="30"/>
          <w:szCs w:val="30"/>
        </w:rPr>
        <w:t>（二）科学性原则</w:t>
      </w:r>
    </w:p>
    <w:p>
      <w:pPr>
        <w:adjustRightInd w:val="0"/>
        <w:snapToGrid w:val="0"/>
        <w:spacing w:line="312" w:lineRule="auto"/>
        <w:ind w:firstLine="600" w:firstLineChars="200"/>
        <w:rPr>
          <w:rFonts w:eastAsia="仿宋_GB2312"/>
          <w:kern w:val="0"/>
          <w:sz w:val="30"/>
          <w:szCs w:val="30"/>
        </w:rPr>
      </w:pPr>
      <w:r>
        <w:rPr>
          <w:rFonts w:eastAsia="仿宋_GB2312"/>
          <w:kern w:val="0"/>
          <w:sz w:val="30"/>
          <w:szCs w:val="30"/>
        </w:rPr>
        <w:t>遵循技术技能人才培养规律和质量管理规律，科学设计评估指标及其标准、主体、过程与方法、结论应用准则，增强评估方案科学性；严格执行评估方案，坚持公平、公正、公开，根据不同院校的实际情况，有针对性地组织评估，给出建议、促进发展。</w:t>
      </w:r>
    </w:p>
    <w:p>
      <w:pPr>
        <w:adjustRightInd w:val="0"/>
        <w:snapToGrid w:val="0"/>
        <w:spacing w:line="312" w:lineRule="auto"/>
        <w:ind w:firstLine="602" w:firstLineChars="200"/>
        <w:rPr>
          <w:rFonts w:eastAsia="仿宋_GB2312"/>
          <w:b/>
          <w:kern w:val="0"/>
          <w:sz w:val="30"/>
          <w:szCs w:val="30"/>
        </w:rPr>
      </w:pPr>
      <w:r>
        <w:rPr>
          <w:rFonts w:eastAsia="仿宋_GB2312"/>
          <w:b/>
          <w:kern w:val="0"/>
          <w:sz w:val="30"/>
          <w:szCs w:val="30"/>
        </w:rPr>
        <w:t>（三）发展性原则</w:t>
      </w:r>
    </w:p>
    <w:p>
      <w:pPr>
        <w:adjustRightInd w:val="0"/>
        <w:snapToGrid w:val="0"/>
        <w:spacing w:line="312" w:lineRule="auto"/>
        <w:ind w:firstLine="600" w:firstLineChars="200"/>
        <w:rPr>
          <w:rFonts w:eastAsia="仿宋_GB2312"/>
          <w:kern w:val="0"/>
          <w:sz w:val="30"/>
          <w:szCs w:val="30"/>
        </w:rPr>
      </w:pPr>
      <w:r>
        <w:rPr>
          <w:rFonts w:eastAsia="仿宋_GB2312"/>
          <w:kern w:val="0"/>
          <w:sz w:val="30"/>
          <w:szCs w:val="30"/>
        </w:rPr>
        <w:t>强化被评院校在问题整改中的主体责任，发挥主管部门在问题整改中的支持和督促作用，高标准、严要求做好整改回访工作，确保评估报告提出的问题得到切实如期整改，各项工作达到合格标准的要求。</w:t>
      </w:r>
    </w:p>
    <w:p>
      <w:pPr>
        <w:adjustRightInd w:val="0"/>
        <w:snapToGrid w:val="0"/>
        <w:spacing w:before="62" w:beforeLines="20" w:after="62" w:afterLines="20" w:line="520" w:lineRule="exact"/>
        <w:ind w:firstLine="600" w:firstLineChars="200"/>
        <w:rPr>
          <w:rFonts w:eastAsia="黑体"/>
          <w:bCs/>
          <w:sz w:val="30"/>
          <w:szCs w:val="30"/>
        </w:rPr>
      </w:pPr>
      <w:r>
        <w:rPr>
          <w:rFonts w:eastAsia="黑体"/>
          <w:bCs/>
          <w:sz w:val="30"/>
          <w:szCs w:val="30"/>
        </w:rPr>
        <w:t>四、评估对象与条件</w:t>
      </w:r>
    </w:p>
    <w:p>
      <w:pPr>
        <w:adjustRightInd w:val="0"/>
        <w:snapToGrid w:val="0"/>
        <w:spacing w:line="520" w:lineRule="exact"/>
        <w:ind w:firstLine="602" w:firstLineChars="200"/>
        <w:rPr>
          <w:rFonts w:eastAsia="楷体_GB2312"/>
          <w:b/>
          <w:sz w:val="30"/>
          <w:szCs w:val="30"/>
        </w:rPr>
      </w:pPr>
      <w:r>
        <w:rPr>
          <w:rFonts w:eastAsia="楷体_GB2312"/>
          <w:b/>
          <w:sz w:val="30"/>
          <w:szCs w:val="30"/>
        </w:rPr>
        <w:t>（一）评估对象</w:t>
      </w:r>
    </w:p>
    <w:p>
      <w:pPr>
        <w:adjustRightInd w:val="0"/>
        <w:snapToGrid w:val="0"/>
        <w:spacing w:line="312" w:lineRule="auto"/>
        <w:ind w:firstLine="600" w:firstLineChars="200"/>
        <w:rPr>
          <w:rFonts w:eastAsia="仿宋_GB2312"/>
          <w:kern w:val="0"/>
          <w:sz w:val="30"/>
          <w:szCs w:val="30"/>
        </w:rPr>
      </w:pPr>
      <w:r>
        <w:rPr>
          <w:rFonts w:eastAsia="仿宋_GB2312"/>
          <w:kern w:val="0"/>
          <w:sz w:val="30"/>
          <w:szCs w:val="30"/>
        </w:rPr>
        <w:t>经省政府批准、独立设置、已有两届毕业生，且未参加过评估的各类新建高等职业院校，2年内必须接受合格评估。评估结论5年有效，并按规定程序向社会公布。具体包括以下学校：</w:t>
      </w:r>
    </w:p>
    <w:p>
      <w:pPr>
        <w:adjustRightInd w:val="0"/>
        <w:snapToGrid w:val="0"/>
        <w:spacing w:line="520" w:lineRule="exact"/>
        <w:ind w:firstLine="584" w:firstLineChars="200"/>
        <w:rPr>
          <w:rFonts w:eastAsia="仿宋_GB2312"/>
          <w:spacing w:val="-4"/>
          <w:sz w:val="30"/>
          <w:szCs w:val="30"/>
        </w:rPr>
      </w:pPr>
      <w:r>
        <w:rPr>
          <w:rFonts w:eastAsia="仿宋_GB2312"/>
          <w:spacing w:val="-4"/>
          <w:sz w:val="30"/>
          <w:szCs w:val="30"/>
        </w:rPr>
        <w:t>1. 未参加过前两轮评估（高职高专人才培养工作水平评估、高等职业院校人才培养工作评估）的各类新建普通高等职业院校，包括经教育行政部门正式批准独立设置的民办高等职业院校。</w:t>
      </w:r>
    </w:p>
    <w:p>
      <w:pPr>
        <w:adjustRightInd w:val="0"/>
        <w:snapToGrid w:val="0"/>
        <w:spacing w:line="520" w:lineRule="exact"/>
        <w:ind w:firstLine="584" w:firstLineChars="200"/>
        <w:rPr>
          <w:rFonts w:eastAsia="仿宋_GB2312"/>
          <w:spacing w:val="-4"/>
          <w:sz w:val="30"/>
          <w:szCs w:val="30"/>
        </w:rPr>
      </w:pPr>
      <w:r>
        <w:rPr>
          <w:rFonts w:eastAsia="仿宋_GB2312"/>
          <w:spacing w:val="-4"/>
          <w:sz w:val="30"/>
          <w:szCs w:val="30"/>
        </w:rPr>
        <w:t>2. 对于已经通过前两轮评估，但在办学过程中出现因规模扩张、投入不足等原因，造成基本办学条件不达标、招生就业出现严重滑坡、发生重大事故等问题的院校。</w:t>
      </w:r>
    </w:p>
    <w:p>
      <w:pPr>
        <w:adjustRightInd w:val="0"/>
        <w:snapToGrid w:val="0"/>
        <w:spacing w:line="520" w:lineRule="exact"/>
        <w:ind w:firstLine="602" w:firstLineChars="200"/>
        <w:rPr>
          <w:rFonts w:eastAsia="楷体_GB2312"/>
          <w:b/>
          <w:sz w:val="30"/>
          <w:szCs w:val="30"/>
        </w:rPr>
      </w:pPr>
      <w:r>
        <w:rPr>
          <w:rFonts w:eastAsia="楷体_GB2312"/>
          <w:b/>
          <w:sz w:val="30"/>
          <w:szCs w:val="30"/>
        </w:rPr>
        <w:t>（二）评估条件</w:t>
      </w:r>
    </w:p>
    <w:p>
      <w:pPr>
        <w:adjustRightInd w:val="0"/>
        <w:snapToGrid w:val="0"/>
        <w:spacing w:line="520" w:lineRule="exact"/>
        <w:ind w:firstLine="600" w:firstLineChars="200"/>
        <w:rPr>
          <w:rFonts w:eastAsia="仿宋_GB2312"/>
          <w:sz w:val="30"/>
          <w:szCs w:val="30"/>
        </w:rPr>
      </w:pPr>
      <w:r>
        <w:rPr>
          <w:rFonts w:eastAsia="仿宋_GB2312"/>
          <w:sz w:val="30"/>
          <w:szCs w:val="30"/>
        </w:rPr>
        <w:t>学校申请开展合格评估的条件为：</w:t>
      </w:r>
    </w:p>
    <w:p>
      <w:pPr>
        <w:adjustRightInd w:val="0"/>
        <w:snapToGrid w:val="0"/>
        <w:spacing w:line="520" w:lineRule="exact"/>
        <w:ind w:firstLine="600" w:firstLineChars="200"/>
        <w:rPr>
          <w:rFonts w:eastAsia="仿宋_GB2312"/>
          <w:sz w:val="30"/>
          <w:szCs w:val="30"/>
        </w:rPr>
      </w:pPr>
      <w:r>
        <w:rPr>
          <w:rFonts w:eastAsia="仿宋_GB2312"/>
          <w:sz w:val="30"/>
          <w:szCs w:val="30"/>
        </w:rPr>
        <w:t>1. 有2届以本校名义招生的普通高职毕业生；</w:t>
      </w:r>
    </w:p>
    <w:p>
      <w:pPr>
        <w:adjustRightInd w:val="0"/>
        <w:snapToGrid w:val="0"/>
        <w:spacing w:line="520" w:lineRule="exact"/>
        <w:ind w:firstLine="600" w:firstLineChars="200"/>
        <w:rPr>
          <w:rFonts w:eastAsia="仿宋_GB2312"/>
          <w:sz w:val="30"/>
          <w:szCs w:val="30"/>
        </w:rPr>
      </w:pPr>
      <w:r>
        <w:rPr>
          <w:rFonts w:eastAsia="仿宋_GB2312"/>
          <w:sz w:val="30"/>
          <w:szCs w:val="30"/>
        </w:rPr>
        <w:t>2. 当年没有被限制招生或暂停招生；</w:t>
      </w:r>
    </w:p>
    <w:p>
      <w:pPr>
        <w:adjustRightInd w:val="0"/>
        <w:snapToGrid w:val="0"/>
        <w:spacing w:line="520" w:lineRule="exact"/>
        <w:ind w:firstLine="600" w:firstLineChars="200"/>
        <w:rPr>
          <w:rFonts w:eastAsia="仿宋_GB2312"/>
          <w:sz w:val="30"/>
          <w:szCs w:val="30"/>
        </w:rPr>
      </w:pPr>
      <w:r>
        <w:rPr>
          <w:rFonts w:eastAsia="仿宋_GB2312"/>
          <w:sz w:val="30"/>
          <w:szCs w:val="30"/>
        </w:rPr>
        <w:t xml:space="preserve">3．学生与专任教师（含双肩挑教师）之比≤18：1（其中医学院校为16:1），具有研究生学位教师占专任教师比例≥15%,高级职称教师占专任教师比例≥20%; </w:t>
      </w:r>
    </w:p>
    <w:p>
      <w:pPr>
        <w:adjustRightInd w:val="0"/>
        <w:snapToGrid w:val="0"/>
        <w:spacing w:after="156" w:afterLines="50" w:line="520" w:lineRule="exact"/>
        <w:ind w:firstLine="600" w:firstLineChars="200"/>
        <w:rPr>
          <w:rFonts w:eastAsia="仿宋_GB2312"/>
          <w:sz w:val="30"/>
          <w:szCs w:val="30"/>
        </w:rPr>
      </w:pPr>
      <w:r>
        <w:rPr>
          <w:rFonts w:eastAsia="仿宋_GB2312"/>
          <w:sz w:val="30"/>
          <w:szCs w:val="30"/>
        </w:rPr>
        <w:t>4. 基本设施设备达到下列要求：</w:t>
      </w:r>
    </w:p>
    <w:tbl>
      <w:tblPr>
        <w:tblStyle w:val="6"/>
        <w:tblW w:w="8712" w:type="dxa"/>
        <w:tblInd w:w="250" w:type="dxa"/>
        <w:tblLayout w:type="fixed"/>
        <w:tblCellMar>
          <w:top w:w="0" w:type="dxa"/>
          <w:left w:w="108" w:type="dxa"/>
          <w:bottom w:w="0" w:type="dxa"/>
          <w:right w:w="108" w:type="dxa"/>
        </w:tblCellMar>
      </w:tblPr>
      <w:tblGrid>
        <w:gridCol w:w="553"/>
        <w:gridCol w:w="3041"/>
        <w:gridCol w:w="693"/>
        <w:gridCol w:w="690"/>
        <w:gridCol w:w="3047"/>
        <w:gridCol w:w="688"/>
      </w:tblGrid>
      <w:tr>
        <w:tblPrEx>
          <w:tblLayout w:type="fixed"/>
          <w:tblCellMar>
            <w:top w:w="0" w:type="dxa"/>
            <w:left w:w="108" w:type="dxa"/>
            <w:bottom w:w="0" w:type="dxa"/>
            <w:right w:w="108" w:type="dxa"/>
          </w:tblCellMar>
        </w:tblPrEx>
        <w:trPr>
          <w:trHeight w:val="326" w:hRule="atLeast"/>
        </w:trPr>
        <w:tc>
          <w:tcPr>
            <w:tcW w:w="553"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b/>
                <w:bCs/>
                <w:kern w:val="0"/>
              </w:rPr>
            </w:pPr>
            <w:r>
              <w:rPr>
                <w:b/>
                <w:bCs/>
                <w:kern w:val="0"/>
              </w:rPr>
              <w:t>序号</w:t>
            </w:r>
          </w:p>
        </w:tc>
        <w:tc>
          <w:tcPr>
            <w:tcW w:w="3041" w:type="dxa"/>
            <w:vMerge w:val="restart"/>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jc w:val="center"/>
              <w:rPr>
                <w:b/>
                <w:bCs/>
                <w:kern w:val="0"/>
              </w:rPr>
            </w:pPr>
            <w:r>
              <w:rPr>
                <w:b/>
                <w:bCs/>
                <w:kern w:val="0"/>
              </w:rPr>
              <w:t>指标名称</w:t>
            </w:r>
          </w:p>
        </w:tc>
        <w:tc>
          <w:tcPr>
            <w:tcW w:w="693"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20" w:lineRule="exact"/>
              <w:jc w:val="center"/>
              <w:rPr>
                <w:b/>
                <w:bCs/>
                <w:kern w:val="0"/>
              </w:rPr>
            </w:pPr>
            <w:r>
              <w:rPr>
                <w:b/>
                <w:bCs/>
                <w:kern w:val="0"/>
              </w:rPr>
              <w:t>底线</w:t>
            </w:r>
          </w:p>
          <w:p>
            <w:pPr>
              <w:widowControl/>
              <w:spacing w:line="220" w:lineRule="exact"/>
              <w:jc w:val="center"/>
              <w:rPr>
                <w:b/>
                <w:bCs/>
                <w:kern w:val="0"/>
              </w:rPr>
            </w:pPr>
            <w:r>
              <w:rPr>
                <w:b/>
                <w:bCs/>
                <w:kern w:val="0"/>
              </w:rPr>
              <w:t>指标</w:t>
            </w:r>
          </w:p>
        </w:tc>
        <w:tc>
          <w:tcPr>
            <w:tcW w:w="690"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b/>
                <w:bCs/>
                <w:kern w:val="0"/>
              </w:rPr>
            </w:pPr>
            <w:r>
              <w:rPr>
                <w:b/>
                <w:bCs/>
                <w:kern w:val="0"/>
              </w:rPr>
              <w:t>序号</w:t>
            </w:r>
          </w:p>
        </w:tc>
        <w:tc>
          <w:tcPr>
            <w:tcW w:w="3047" w:type="dxa"/>
            <w:vMerge w:val="restart"/>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jc w:val="center"/>
              <w:rPr>
                <w:b/>
                <w:bCs/>
                <w:kern w:val="0"/>
              </w:rPr>
            </w:pPr>
            <w:r>
              <w:rPr>
                <w:b/>
                <w:bCs/>
                <w:kern w:val="0"/>
              </w:rPr>
              <w:t>指标名称</w:t>
            </w:r>
          </w:p>
        </w:tc>
        <w:tc>
          <w:tcPr>
            <w:tcW w:w="688" w:type="dxa"/>
            <w:vMerge w:val="restart"/>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220" w:lineRule="exact"/>
              <w:jc w:val="center"/>
              <w:rPr>
                <w:b/>
                <w:bCs/>
                <w:kern w:val="0"/>
              </w:rPr>
            </w:pPr>
            <w:r>
              <w:rPr>
                <w:b/>
                <w:bCs/>
                <w:kern w:val="0"/>
              </w:rPr>
              <w:t>底线</w:t>
            </w:r>
          </w:p>
          <w:p>
            <w:pPr>
              <w:widowControl/>
              <w:spacing w:line="220" w:lineRule="exact"/>
              <w:jc w:val="center"/>
              <w:rPr>
                <w:b/>
                <w:bCs/>
                <w:kern w:val="0"/>
              </w:rPr>
            </w:pPr>
            <w:r>
              <w:rPr>
                <w:b/>
                <w:bCs/>
                <w:kern w:val="0"/>
              </w:rPr>
              <w:t>指标</w:t>
            </w:r>
          </w:p>
        </w:tc>
      </w:tr>
      <w:tr>
        <w:tblPrEx>
          <w:tblLayout w:type="fixed"/>
          <w:tblCellMar>
            <w:top w:w="0" w:type="dxa"/>
            <w:left w:w="108" w:type="dxa"/>
            <w:bottom w:w="0" w:type="dxa"/>
            <w:right w:w="108" w:type="dxa"/>
          </w:tblCellMar>
        </w:tblPrEx>
        <w:trPr>
          <w:trHeight w:val="369" w:hRule="atLeast"/>
        </w:trPr>
        <w:tc>
          <w:tcPr>
            <w:tcW w:w="553"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left"/>
              <w:rPr>
                <w:b/>
                <w:bCs/>
                <w:kern w:val="0"/>
              </w:rPr>
            </w:pPr>
          </w:p>
        </w:tc>
        <w:tc>
          <w:tcPr>
            <w:tcW w:w="3041"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left"/>
              <w:rPr>
                <w:b/>
                <w:bCs/>
                <w:kern w:val="0"/>
              </w:rPr>
            </w:pPr>
          </w:p>
        </w:tc>
        <w:tc>
          <w:tcPr>
            <w:tcW w:w="693"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left"/>
              <w:rPr>
                <w:b/>
                <w:bCs/>
                <w:kern w:val="0"/>
              </w:rPr>
            </w:pPr>
          </w:p>
        </w:tc>
        <w:tc>
          <w:tcPr>
            <w:tcW w:w="690"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b/>
                <w:bCs/>
                <w:kern w:val="0"/>
              </w:rPr>
            </w:pPr>
          </w:p>
        </w:tc>
        <w:tc>
          <w:tcPr>
            <w:tcW w:w="3047"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left"/>
              <w:rPr>
                <w:b/>
                <w:bCs/>
                <w:kern w:val="0"/>
              </w:rPr>
            </w:pPr>
          </w:p>
        </w:tc>
        <w:tc>
          <w:tcPr>
            <w:tcW w:w="688"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left"/>
              <w:rPr>
                <w:b/>
                <w:bCs/>
                <w:kern w:val="0"/>
              </w:rPr>
            </w:pPr>
          </w:p>
        </w:tc>
      </w:tr>
      <w:tr>
        <w:tblPrEx>
          <w:tblLayout w:type="fixed"/>
          <w:tblCellMar>
            <w:top w:w="0" w:type="dxa"/>
            <w:left w:w="108" w:type="dxa"/>
            <w:bottom w:w="0" w:type="dxa"/>
            <w:right w:w="108" w:type="dxa"/>
          </w:tblCellMar>
        </w:tblPrEx>
        <w:trPr>
          <w:trHeight w:val="369"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
                <w:kern w:val="0"/>
              </w:rPr>
            </w:pPr>
            <w:r>
              <w:rPr>
                <w:rFonts w:eastAsia="仿宋"/>
                <w:kern w:val="0"/>
              </w:rPr>
              <w:t>1</w:t>
            </w:r>
          </w:p>
        </w:tc>
        <w:tc>
          <w:tcPr>
            <w:tcW w:w="3041" w:type="dxa"/>
            <w:tcBorders>
              <w:top w:val="nil"/>
              <w:left w:val="nil"/>
              <w:bottom w:val="single" w:color="auto" w:sz="4" w:space="0"/>
              <w:right w:val="single" w:color="auto" w:sz="4" w:space="0"/>
            </w:tcBorders>
            <w:shd w:val="clear" w:color="000000" w:fill="FFFFFF"/>
            <w:noWrap/>
            <w:vAlign w:val="center"/>
          </w:tcPr>
          <w:p>
            <w:pPr>
              <w:widowControl/>
              <w:jc w:val="left"/>
              <w:rPr>
                <w:rFonts w:eastAsia="仿宋"/>
                <w:kern w:val="0"/>
              </w:rPr>
            </w:pPr>
            <w:r>
              <w:rPr>
                <w:rFonts w:eastAsia="仿宋"/>
                <w:kern w:val="0"/>
              </w:rPr>
              <w:t>生均教学行政用房（平方米/生）</w:t>
            </w:r>
          </w:p>
        </w:tc>
        <w:tc>
          <w:tcPr>
            <w:tcW w:w="693" w:type="dxa"/>
            <w:tcBorders>
              <w:top w:val="nil"/>
              <w:left w:val="nil"/>
              <w:bottom w:val="single" w:color="auto" w:sz="4" w:space="0"/>
              <w:right w:val="single" w:color="auto" w:sz="4" w:space="0"/>
            </w:tcBorders>
            <w:shd w:val="clear" w:color="000000" w:fill="F8F8F8"/>
            <w:vAlign w:val="center"/>
          </w:tcPr>
          <w:p>
            <w:pPr>
              <w:widowControl/>
              <w:jc w:val="center"/>
              <w:rPr>
                <w:rFonts w:eastAsia="仿宋"/>
                <w:kern w:val="0"/>
              </w:rPr>
            </w:pPr>
            <w:r>
              <w:rPr>
                <w:rFonts w:eastAsia="仿宋"/>
                <w:kern w:val="0"/>
              </w:rPr>
              <w:t>16</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kern w:val="0"/>
              </w:rPr>
            </w:pPr>
            <w:r>
              <w:rPr>
                <w:rFonts w:eastAsia="仿宋"/>
                <w:kern w:val="0"/>
              </w:rPr>
              <w:t>5</w:t>
            </w:r>
          </w:p>
        </w:tc>
        <w:tc>
          <w:tcPr>
            <w:tcW w:w="3047" w:type="dxa"/>
            <w:tcBorders>
              <w:top w:val="nil"/>
              <w:left w:val="nil"/>
              <w:bottom w:val="single" w:color="auto" w:sz="4" w:space="0"/>
              <w:right w:val="single" w:color="auto" w:sz="4" w:space="0"/>
            </w:tcBorders>
            <w:shd w:val="clear" w:color="000000" w:fill="FFFFFF"/>
            <w:noWrap/>
            <w:vAlign w:val="center"/>
          </w:tcPr>
          <w:p>
            <w:pPr>
              <w:widowControl/>
              <w:jc w:val="left"/>
              <w:rPr>
                <w:rFonts w:eastAsia="仿宋"/>
                <w:kern w:val="0"/>
              </w:rPr>
            </w:pPr>
            <w:r>
              <w:rPr>
                <w:rFonts w:eastAsia="仿宋"/>
                <w:kern w:val="0"/>
              </w:rPr>
              <w:t>生均实践场所（平方米/生）</w:t>
            </w:r>
          </w:p>
        </w:tc>
        <w:tc>
          <w:tcPr>
            <w:tcW w:w="688" w:type="dxa"/>
            <w:tcBorders>
              <w:top w:val="nil"/>
              <w:left w:val="nil"/>
              <w:bottom w:val="single" w:color="auto" w:sz="4" w:space="0"/>
              <w:right w:val="single" w:color="auto" w:sz="4" w:space="0"/>
            </w:tcBorders>
            <w:shd w:val="clear" w:color="000000" w:fill="F8F8F8"/>
            <w:vAlign w:val="center"/>
          </w:tcPr>
          <w:p>
            <w:pPr>
              <w:widowControl/>
              <w:jc w:val="center"/>
              <w:rPr>
                <w:rFonts w:eastAsia="仿宋"/>
                <w:kern w:val="0"/>
              </w:rPr>
            </w:pPr>
            <w:r>
              <w:rPr>
                <w:rFonts w:eastAsia="仿宋"/>
                <w:kern w:val="0"/>
              </w:rPr>
              <w:t>8.3</w:t>
            </w:r>
          </w:p>
        </w:tc>
      </w:tr>
      <w:tr>
        <w:tblPrEx>
          <w:tblLayout w:type="fixed"/>
          <w:tblCellMar>
            <w:top w:w="0" w:type="dxa"/>
            <w:left w:w="108" w:type="dxa"/>
            <w:bottom w:w="0" w:type="dxa"/>
            <w:right w:w="108" w:type="dxa"/>
          </w:tblCellMar>
        </w:tblPrEx>
        <w:trPr>
          <w:trHeight w:val="369"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
                <w:kern w:val="0"/>
              </w:rPr>
            </w:pPr>
            <w:r>
              <w:rPr>
                <w:rFonts w:eastAsia="仿宋"/>
                <w:kern w:val="0"/>
              </w:rPr>
              <w:t>2</w:t>
            </w:r>
          </w:p>
        </w:tc>
        <w:tc>
          <w:tcPr>
            <w:tcW w:w="3041" w:type="dxa"/>
            <w:tcBorders>
              <w:top w:val="nil"/>
              <w:left w:val="nil"/>
              <w:bottom w:val="single" w:color="auto" w:sz="4" w:space="0"/>
              <w:right w:val="single" w:color="auto" w:sz="4" w:space="0"/>
            </w:tcBorders>
            <w:shd w:val="clear" w:color="000000" w:fill="FFFFFF"/>
            <w:noWrap/>
            <w:vAlign w:val="center"/>
          </w:tcPr>
          <w:p>
            <w:pPr>
              <w:widowControl/>
              <w:jc w:val="left"/>
              <w:rPr>
                <w:rFonts w:eastAsia="仿宋"/>
                <w:kern w:val="0"/>
              </w:rPr>
            </w:pPr>
            <w:r>
              <w:rPr>
                <w:rFonts w:eastAsia="仿宋"/>
                <w:kern w:val="0"/>
              </w:rPr>
              <w:t>生均图书（册/生）</w:t>
            </w:r>
          </w:p>
        </w:tc>
        <w:tc>
          <w:tcPr>
            <w:tcW w:w="693" w:type="dxa"/>
            <w:tcBorders>
              <w:top w:val="nil"/>
              <w:left w:val="nil"/>
              <w:bottom w:val="single" w:color="auto" w:sz="4" w:space="0"/>
              <w:right w:val="single" w:color="auto" w:sz="4" w:space="0"/>
            </w:tcBorders>
            <w:shd w:val="clear" w:color="000000" w:fill="F8F8F8"/>
            <w:vAlign w:val="center"/>
          </w:tcPr>
          <w:p>
            <w:pPr>
              <w:widowControl/>
              <w:jc w:val="center"/>
              <w:rPr>
                <w:rFonts w:eastAsia="仿宋"/>
                <w:kern w:val="0"/>
              </w:rPr>
            </w:pPr>
            <w:r>
              <w:rPr>
                <w:rFonts w:eastAsia="仿宋"/>
                <w:kern w:val="0"/>
              </w:rPr>
              <w:t>60</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kern w:val="0"/>
              </w:rPr>
            </w:pPr>
            <w:r>
              <w:rPr>
                <w:rFonts w:eastAsia="仿宋"/>
                <w:kern w:val="0"/>
              </w:rPr>
              <w:t>6</w:t>
            </w:r>
          </w:p>
        </w:tc>
        <w:tc>
          <w:tcPr>
            <w:tcW w:w="3047" w:type="dxa"/>
            <w:tcBorders>
              <w:top w:val="nil"/>
              <w:left w:val="nil"/>
              <w:bottom w:val="single" w:color="auto" w:sz="4" w:space="0"/>
              <w:right w:val="single" w:color="auto" w:sz="4" w:space="0"/>
            </w:tcBorders>
            <w:shd w:val="clear" w:color="000000" w:fill="FFFFFF"/>
            <w:noWrap/>
            <w:vAlign w:val="center"/>
          </w:tcPr>
          <w:p>
            <w:pPr>
              <w:widowControl/>
              <w:jc w:val="left"/>
              <w:rPr>
                <w:rFonts w:eastAsia="仿宋"/>
                <w:kern w:val="0"/>
              </w:rPr>
            </w:pPr>
            <w:r>
              <w:rPr>
                <w:rFonts w:eastAsia="仿宋"/>
                <w:kern w:val="0"/>
              </w:rPr>
              <w:t>百名学生教学用计算机数（台）</w:t>
            </w:r>
          </w:p>
        </w:tc>
        <w:tc>
          <w:tcPr>
            <w:tcW w:w="688" w:type="dxa"/>
            <w:tcBorders>
              <w:top w:val="nil"/>
              <w:left w:val="nil"/>
              <w:bottom w:val="single" w:color="auto" w:sz="4" w:space="0"/>
              <w:right w:val="single" w:color="auto" w:sz="4" w:space="0"/>
            </w:tcBorders>
            <w:shd w:val="clear" w:color="000000" w:fill="F8F8F8"/>
            <w:vAlign w:val="center"/>
          </w:tcPr>
          <w:p>
            <w:pPr>
              <w:widowControl/>
              <w:jc w:val="center"/>
              <w:rPr>
                <w:rFonts w:eastAsia="仿宋"/>
                <w:kern w:val="0"/>
              </w:rPr>
            </w:pPr>
            <w:r>
              <w:rPr>
                <w:rFonts w:eastAsia="仿宋"/>
                <w:kern w:val="0"/>
              </w:rPr>
              <w:t>10</w:t>
            </w:r>
          </w:p>
        </w:tc>
      </w:tr>
      <w:tr>
        <w:tblPrEx>
          <w:tblLayout w:type="fixed"/>
          <w:tblCellMar>
            <w:top w:w="0" w:type="dxa"/>
            <w:left w:w="108" w:type="dxa"/>
            <w:bottom w:w="0" w:type="dxa"/>
            <w:right w:w="108" w:type="dxa"/>
          </w:tblCellMar>
        </w:tblPrEx>
        <w:trPr>
          <w:trHeight w:val="369"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
                <w:kern w:val="0"/>
              </w:rPr>
            </w:pPr>
            <w:r>
              <w:rPr>
                <w:rFonts w:eastAsia="仿宋"/>
                <w:kern w:val="0"/>
              </w:rPr>
              <w:t>3</w:t>
            </w:r>
          </w:p>
        </w:tc>
        <w:tc>
          <w:tcPr>
            <w:tcW w:w="3041" w:type="dxa"/>
            <w:tcBorders>
              <w:top w:val="nil"/>
              <w:left w:val="nil"/>
              <w:bottom w:val="single" w:color="auto" w:sz="4" w:space="0"/>
              <w:right w:val="single" w:color="auto" w:sz="4" w:space="0"/>
            </w:tcBorders>
            <w:shd w:val="clear" w:color="000000" w:fill="FFFFFF"/>
            <w:noWrap/>
            <w:vAlign w:val="center"/>
          </w:tcPr>
          <w:p>
            <w:pPr>
              <w:widowControl/>
              <w:jc w:val="left"/>
              <w:rPr>
                <w:rFonts w:eastAsia="仿宋"/>
                <w:kern w:val="0"/>
              </w:rPr>
            </w:pPr>
            <w:r>
              <w:rPr>
                <w:rFonts w:eastAsia="仿宋"/>
                <w:kern w:val="0"/>
              </w:rPr>
              <w:t>生均占地面积（平方米/生）</w:t>
            </w:r>
          </w:p>
        </w:tc>
        <w:tc>
          <w:tcPr>
            <w:tcW w:w="693" w:type="dxa"/>
            <w:tcBorders>
              <w:top w:val="nil"/>
              <w:left w:val="nil"/>
              <w:bottom w:val="single" w:color="auto" w:sz="4" w:space="0"/>
              <w:right w:val="single" w:color="auto" w:sz="4" w:space="0"/>
            </w:tcBorders>
            <w:shd w:val="clear" w:color="000000" w:fill="F8F8F8"/>
            <w:vAlign w:val="center"/>
          </w:tcPr>
          <w:p>
            <w:pPr>
              <w:widowControl/>
              <w:jc w:val="center"/>
              <w:rPr>
                <w:rFonts w:eastAsia="仿宋"/>
                <w:kern w:val="0"/>
              </w:rPr>
            </w:pPr>
            <w:r>
              <w:rPr>
                <w:rFonts w:eastAsia="仿宋"/>
                <w:kern w:val="0"/>
              </w:rPr>
              <w:t>59</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kern w:val="0"/>
              </w:rPr>
            </w:pPr>
            <w:r>
              <w:rPr>
                <w:rFonts w:eastAsia="仿宋"/>
                <w:kern w:val="0"/>
              </w:rPr>
              <w:t>7</w:t>
            </w:r>
          </w:p>
        </w:tc>
        <w:tc>
          <w:tcPr>
            <w:tcW w:w="3047" w:type="dxa"/>
            <w:tcBorders>
              <w:top w:val="nil"/>
              <w:left w:val="nil"/>
              <w:bottom w:val="single" w:color="auto" w:sz="4" w:space="0"/>
              <w:right w:val="single" w:color="auto" w:sz="4" w:space="0"/>
            </w:tcBorders>
            <w:shd w:val="clear" w:color="000000" w:fill="FFFFFF"/>
            <w:noWrap/>
            <w:vAlign w:val="center"/>
          </w:tcPr>
          <w:p>
            <w:pPr>
              <w:widowControl/>
              <w:jc w:val="left"/>
              <w:rPr>
                <w:rFonts w:eastAsia="仿宋"/>
                <w:kern w:val="0"/>
              </w:rPr>
            </w:pPr>
            <w:r>
              <w:rPr>
                <w:rFonts w:eastAsia="仿宋"/>
                <w:kern w:val="0"/>
              </w:rPr>
              <w:t>新增科研仪器设备所占比例（%）</w:t>
            </w:r>
          </w:p>
        </w:tc>
        <w:tc>
          <w:tcPr>
            <w:tcW w:w="688" w:type="dxa"/>
            <w:tcBorders>
              <w:top w:val="nil"/>
              <w:left w:val="nil"/>
              <w:bottom w:val="single" w:color="auto" w:sz="4" w:space="0"/>
              <w:right w:val="single" w:color="auto" w:sz="4" w:space="0"/>
            </w:tcBorders>
            <w:shd w:val="clear" w:color="000000" w:fill="F8F8F8"/>
            <w:vAlign w:val="center"/>
          </w:tcPr>
          <w:p>
            <w:pPr>
              <w:widowControl/>
              <w:jc w:val="center"/>
              <w:rPr>
                <w:rFonts w:eastAsia="仿宋"/>
                <w:kern w:val="0"/>
              </w:rPr>
            </w:pPr>
            <w:r>
              <w:rPr>
                <w:rFonts w:eastAsia="仿宋"/>
                <w:kern w:val="0"/>
              </w:rPr>
              <w:t>10</w:t>
            </w:r>
          </w:p>
        </w:tc>
      </w:tr>
      <w:tr>
        <w:tblPrEx>
          <w:tblLayout w:type="fixed"/>
          <w:tblCellMar>
            <w:top w:w="0" w:type="dxa"/>
            <w:left w:w="108" w:type="dxa"/>
            <w:bottom w:w="0" w:type="dxa"/>
            <w:right w:w="108" w:type="dxa"/>
          </w:tblCellMar>
        </w:tblPrEx>
        <w:trPr>
          <w:trHeight w:val="369"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
                <w:kern w:val="0"/>
              </w:rPr>
            </w:pPr>
            <w:r>
              <w:rPr>
                <w:rFonts w:eastAsia="仿宋"/>
                <w:kern w:val="0"/>
              </w:rPr>
              <w:t>4</w:t>
            </w:r>
          </w:p>
        </w:tc>
        <w:tc>
          <w:tcPr>
            <w:tcW w:w="3041" w:type="dxa"/>
            <w:tcBorders>
              <w:top w:val="nil"/>
              <w:left w:val="nil"/>
              <w:bottom w:val="single" w:color="auto" w:sz="4" w:space="0"/>
              <w:right w:val="single" w:color="auto" w:sz="4" w:space="0"/>
            </w:tcBorders>
            <w:shd w:val="clear" w:color="000000" w:fill="FFFFFF"/>
            <w:noWrap/>
            <w:vAlign w:val="center"/>
          </w:tcPr>
          <w:p>
            <w:pPr>
              <w:widowControl/>
              <w:jc w:val="left"/>
              <w:rPr>
                <w:rFonts w:eastAsia="仿宋"/>
                <w:kern w:val="0"/>
              </w:rPr>
            </w:pPr>
            <w:r>
              <w:rPr>
                <w:rFonts w:eastAsia="仿宋"/>
                <w:kern w:val="0"/>
              </w:rPr>
              <w:t>生均宿舍面积（平方米/生）</w:t>
            </w:r>
          </w:p>
        </w:tc>
        <w:tc>
          <w:tcPr>
            <w:tcW w:w="693" w:type="dxa"/>
            <w:tcBorders>
              <w:top w:val="nil"/>
              <w:left w:val="nil"/>
              <w:bottom w:val="single" w:color="auto" w:sz="4" w:space="0"/>
              <w:right w:val="single" w:color="auto" w:sz="4" w:space="0"/>
            </w:tcBorders>
            <w:shd w:val="clear" w:color="000000" w:fill="F8F8F8"/>
            <w:vAlign w:val="center"/>
          </w:tcPr>
          <w:p>
            <w:pPr>
              <w:widowControl/>
              <w:jc w:val="center"/>
              <w:rPr>
                <w:rFonts w:eastAsia="仿宋"/>
                <w:kern w:val="0"/>
              </w:rPr>
            </w:pPr>
            <w:r>
              <w:rPr>
                <w:rFonts w:eastAsia="仿宋"/>
                <w:kern w:val="0"/>
              </w:rPr>
              <w:t>6.5</w:t>
            </w:r>
          </w:p>
        </w:tc>
        <w:tc>
          <w:tcPr>
            <w:tcW w:w="69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kern w:val="0"/>
              </w:rPr>
            </w:pPr>
            <w:r>
              <w:rPr>
                <w:rFonts w:eastAsia="仿宋"/>
                <w:kern w:val="0"/>
              </w:rPr>
              <w:t>8</w:t>
            </w:r>
          </w:p>
        </w:tc>
        <w:tc>
          <w:tcPr>
            <w:tcW w:w="3047" w:type="dxa"/>
            <w:tcBorders>
              <w:top w:val="nil"/>
              <w:left w:val="nil"/>
              <w:bottom w:val="single" w:color="auto" w:sz="4" w:space="0"/>
              <w:right w:val="single" w:color="auto" w:sz="4" w:space="0"/>
            </w:tcBorders>
            <w:shd w:val="clear" w:color="000000" w:fill="FFFFFF"/>
            <w:noWrap/>
            <w:vAlign w:val="center"/>
          </w:tcPr>
          <w:p>
            <w:pPr>
              <w:widowControl/>
              <w:jc w:val="left"/>
              <w:rPr>
                <w:rFonts w:eastAsia="仿宋"/>
                <w:kern w:val="0"/>
              </w:rPr>
            </w:pPr>
            <w:r>
              <w:rPr>
                <w:rFonts w:eastAsia="仿宋"/>
                <w:kern w:val="0"/>
              </w:rPr>
              <w:t>生均年进书量（册）</w:t>
            </w:r>
          </w:p>
        </w:tc>
        <w:tc>
          <w:tcPr>
            <w:tcW w:w="688" w:type="dxa"/>
            <w:tcBorders>
              <w:top w:val="nil"/>
              <w:left w:val="nil"/>
              <w:bottom w:val="single" w:color="auto" w:sz="4" w:space="0"/>
              <w:right w:val="single" w:color="auto" w:sz="4" w:space="0"/>
            </w:tcBorders>
            <w:shd w:val="clear" w:color="000000" w:fill="F8F8F8"/>
            <w:vAlign w:val="center"/>
          </w:tcPr>
          <w:p>
            <w:pPr>
              <w:widowControl/>
              <w:jc w:val="center"/>
              <w:rPr>
                <w:rFonts w:eastAsia="仿宋"/>
                <w:kern w:val="0"/>
              </w:rPr>
            </w:pPr>
            <w:r>
              <w:rPr>
                <w:rFonts w:eastAsia="仿宋"/>
                <w:kern w:val="0"/>
              </w:rPr>
              <w:t>2</w:t>
            </w:r>
          </w:p>
        </w:tc>
      </w:tr>
    </w:tbl>
    <w:p>
      <w:pPr>
        <w:adjustRightInd w:val="0"/>
        <w:snapToGrid w:val="0"/>
        <w:spacing w:line="520" w:lineRule="exact"/>
        <w:ind w:firstLine="600" w:firstLineChars="200"/>
        <w:rPr>
          <w:rFonts w:eastAsia="仿宋_GB2312"/>
          <w:sz w:val="30"/>
          <w:szCs w:val="30"/>
        </w:rPr>
      </w:pPr>
      <w:r>
        <w:rPr>
          <w:rFonts w:eastAsia="仿宋_GB2312"/>
          <w:sz w:val="30"/>
          <w:szCs w:val="30"/>
        </w:rPr>
        <w:t>5. 公办学校上一年生均预算内教育事业费（不含学校学杂费等收入）拨款达到我省规定的相应标准。</w:t>
      </w:r>
    </w:p>
    <w:p>
      <w:pPr>
        <w:adjustRightInd w:val="0"/>
        <w:snapToGrid w:val="0"/>
        <w:spacing w:line="520" w:lineRule="exact"/>
        <w:ind w:firstLine="600" w:firstLineChars="200"/>
        <w:rPr>
          <w:rFonts w:eastAsia="仿宋_GB2312"/>
          <w:sz w:val="30"/>
          <w:szCs w:val="30"/>
          <w:u w:val="single"/>
        </w:rPr>
      </w:pPr>
      <w:r>
        <w:rPr>
          <w:rFonts w:eastAsia="仿宋_GB2312"/>
          <w:sz w:val="30"/>
          <w:szCs w:val="30"/>
        </w:rPr>
        <w:t>6．具有省级教育行政部门核准的章程。</w:t>
      </w:r>
    </w:p>
    <w:p>
      <w:pPr>
        <w:adjustRightInd w:val="0"/>
        <w:snapToGrid w:val="0"/>
        <w:spacing w:before="156" w:beforeLines="50" w:line="520" w:lineRule="exact"/>
        <w:ind w:firstLine="600" w:firstLineChars="200"/>
        <w:rPr>
          <w:rFonts w:eastAsia="仿宋_GB2312"/>
          <w:kern w:val="0"/>
          <w:sz w:val="30"/>
          <w:szCs w:val="30"/>
        </w:rPr>
      </w:pPr>
      <w:r>
        <w:rPr>
          <w:rFonts w:eastAsia="仿宋_GB2312"/>
          <w:sz w:val="30"/>
          <w:szCs w:val="30"/>
        </w:rPr>
        <w:t>暂不符合评估条件的学校，须在2年内达标并接受评估。</w:t>
      </w:r>
      <w:r>
        <w:rPr>
          <w:rFonts w:eastAsia="仿宋_GB2312"/>
          <w:kern w:val="0"/>
          <w:sz w:val="30"/>
          <w:szCs w:val="30"/>
        </w:rPr>
        <w:t>凡因未达到评估条件而推迟评估的学校，在推迟评估期间，省教育行政部门采取暂停备案新设专业、减少招生人数等限制措施。</w:t>
      </w:r>
    </w:p>
    <w:p>
      <w:pPr>
        <w:adjustRightInd w:val="0"/>
        <w:snapToGrid w:val="0"/>
        <w:spacing w:before="62" w:beforeLines="20" w:after="62" w:afterLines="20" w:line="520" w:lineRule="exact"/>
        <w:ind w:firstLine="600" w:firstLineChars="200"/>
        <w:rPr>
          <w:rFonts w:eastAsia="黑体"/>
          <w:bCs/>
          <w:sz w:val="30"/>
          <w:szCs w:val="30"/>
        </w:rPr>
      </w:pPr>
      <w:r>
        <w:rPr>
          <w:rFonts w:eastAsia="黑体"/>
          <w:bCs/>
          <w:sz w:val="30"/>
          <w:szCs w:val="30"/>
        </w:rPr>
        <w:t>五、评估指标体系（见附1）</w:t>
      </w:r>
    </w:p>
    <w:p>
      <w:pPr>
        <w:adjustRightInd w:val="0"/>
        <w:snapToGrid w:val="0"/>
        <w:spacing w:before="62" w:beforeLines="20" w:after="62" w:afterLines="20" w:line="520" w:lineRule="exact"/>
        <w:ind w:firstLine="600" w:firstLineChars="200"/>
        <w:rPr>
          <w:rFonts w:eastAsia="黑体"/>
          <w:bCs/>
          <w:sz w:val="30"/>
          <w:szCs w:val="30"/>
        </w:rPr>
      </w:pPr>
      <w:r>
        <w:rPr>
          <w:rFonts w:eastAsia="黑体"/>
          <w:bCs/>
          <w:sz w:val="30"/>
          <w:szCs w:val="30"/>
        </w:rPr>
        <w:t>六、评估结论及使用</w:t>
      </w:r>
    </w:p>
    <w:p>
      <w:pPr>
        <w:adjustRightInd w:val="0"/>
        <w:snapToGrid w:val="0"/>
        <w:spacing w:line="520" w:lineRule="exact"/>
        <w:ind w:firstLine="600" w:firstLineChars="200"/>
        <w:rPr>
          <w:rFonts w:eastAsia="仿宋_GB2312"/>
          <w:kern w:val="0"/>
          <w:sz w:val="30"/>
          <w:szCs w:val="30"/>
        </w:rPr>
      </w:pPr>
      <w:r>
        <w:rPr>
          <w:rFonts w:eastAsia="仿宋_GB2312"/>
          <w:kern w:val="0"/>
          <w:sz w:val="30"/>
          <w:szCs w:val="30"/>
        </w:rPr>
        <w:t>合格评估结论分为“通过”、“暂缓通过”和“不通过”三种（具体标准见附2）。省教育厅根据专家委员会审议结果，发布评估结论。</w:t>
      </w:r>
    </w:p>
    <w:p>
      <w:pPr>
        <w:adjustRightInd w:val="0"/>
        <w:snapToGrid w:val="0"/>
        <w:spacing w:line="520" w:lineRule="exact"/>
        <w:ind w:firstLine="600" w:firstLineChars="200"/>
        <w:rPr>
          <w:rFonts w:eastAsia="仿宋_GB2312"/>
          <w:sz w:val="30"/>
          <w:szCs w:val="30"/>
        </w:rPr>
      </w:pPr>
      <w:r>
        <w:rPr>
          <w:rFonts w:eastAsia="仿宋_GB2312"/>
          <w:kern w:val="0"/>
          <w:sz w:val="30"/>
          <w:szCs w:val="30"/>
        </w:rPr>
        <w:t>“暂缓通过”的学校整改期为1年，“不通过”的学校整改期为1-2年。在整改期间，对结论为“暂缓通过”和 “不通过”的学校，将采取暂停备案新设专业、限制或减少招生数量等限制措施。整改期满后由学校提出整改回访的申请，整改回访获得通过的学校，取消限制措施，连续2次整改回访“不通过”的学校停止招生。</w:t>
      </w:r>
    </w:p>
    <w:p>
      <w:pPr>
        <w:adjustRightInd w:val="0"/>
        <w:snapToGrid w:val="0"/>
        <w:spacing w:line="520" w:lineRule="exact"/>
        <w:ind w:firstLine="600" w:firstLineChars="200"/>
        <w:rPr>
          <w:rFonts w:eastAsia="仿宋_GB2312"/>
          <w:kern w:val="0"/>
          <w:sz w:val="30"/>
          <w:szCs w:val="30"/>
        </w:rPr>
      </w:pPr>
      <w:r>
        <w:rPr>
          <w:rFonts w:eastAsia="仿宋_GB2312"/>
          <w:kern w:val="0"/>
          <w:sz w:val="30"/>
          <w:szCs w:val="30"/>
        </w:rPr>
        <w:t>已有2届毕业生、2年内仍没有申请评估的学校名单与“不通过”学校名单同时公布，同样处理。</w:t>
      </w:r>
    </w:p>
    <w:p>
      <w:pPr>
        <w:adjustRightInd w:val="0"/>
        <w:snapToGrid w:val="0"/>
        <w:spacing w:before="62" w:beforeLines="20" w:after="62" w:afterLines="20" w:line="520" w:lineRule="exact"/>
        <w:ind w:firstLine="600" w:firstLineChars="200"/>
        <w:rPr>
          <w:rFonts w:eastAsia="黑体"/>
          <w:bCs/>
          <w:sz w:val="30"/>
          <w:szCs w:val="30"/>
        </w:rPr>
      </w:pPr>
      <w:r>
        <w:rPr>
          <w:rFonts w:eastAsia="黑体"/>
          <w:bCs/>
          <w:sz w:val="30"/>
          <w:szCs w:val="30"/>
        </w:rPr>
        <w:t>七、评估组织与</w:t>
      </w:r>
      <w:bookmarkStart w:id="0" w:name="_Toc370570942"/>
      <w:bookmarkStart w:id="1" w:name="_Toc367635289"/>
      <w:bookmarkStart w:id="2" w:name="_Toc367634464"/>
      <w:r>
        <w:rPr>
          <w:rFonts w:eastAsia="黑体"/>
          <w:bCs/>
          <w:sz w:val="30"/>
          <w:szCs w:val="30"/>
        </w:rPr>
        <w:t>程序</w:t>
      </w:r>
    </w:p>
    <w:p>
      <w:pPr>
        <w:adjustRightInd w:val="0"/>
        <w:snapToGrid w:val="0"/>
        <w:spacing w:line="520" w:lineRule="exact"/>
        <w:ind w:firstLine="602" w:firstLineChars="200"/>
        <w:rPr>
          <w:rFonts w:eastAsia="楷体_GB2312"/>
          <w:b/>
          <w:kern w:val="0"/>
          <w:sz w:val="30"/>
          <w:szCs w:val="30"/>
        </w:rPr>
      </w:pPr>
      <w:r>
        <w:rPr>
          <w:rFonts w:eastAsia="楷体_GB2312"/>
          <w:b/>
          <w:kern w:val="0"/>
          <w:sz w:val="30"/>
          <w:szCs w:val="30"/>
        </w:rPr>
        <w:t>（一）评估组织</w:t>
      </w:r>
      <w:bookmarkEnd w:id="0"/>
      <w:bookmarkEnd w:id="1"/>
      <w:bookmarkEnd w:id="2"/>
      <w:bookmarkStart w:id="3" w:name="_Toc367635290"/>
      <w:bookmarkStart w:id="4" w:name="_Toc367634465"/>
    </w:p>
    <w:p>
      <w:pPr>
        <w:adjustRightInd w:val="0"/>
        <w:snapToGrid w:val="0"/>
        <w:spacing w:line="520" w:lineRule="exact"/>
        <w:ind w:firstLine="600" w:firstLineChars="200"/>
        <w:rPr>
          <w:rFonts w:eastAsia="仿宋_GB2312"/>
          <w:sz w:val="30"/>
          <w:szCs w:val="30"/>
        </w:rPr>
      </w:pPr>
      <w:r>
        <w:rPr>
          <w:rFonts w:eastAsia="仿宋_GB2312"/>
          <w:sz w:val="30"/>
          <w:szCs w:val="30"/>
        </w:rPr>
        <w:t>合格评估在省教育厅的领导下，委托省教育评估院具体实施</w:t>
      </w:r>
      <w:bookmarkEnd w:id="3"/>
      <w:bookmarkEnd w:id="4"/>
      <w:r>
        <w:rPr>
          <w:rFonts w:eastAsia="仿宋_GB2312"/>
          <w:sz w:val="30"/>
          <w:szCs w:val="30"/>
        </w:rPr>
        <w:t>。</w:t>
      </w:r>
    </w:p>
    <w:p>
      <w:pPr>
        <w:widowControl/>
        <w:adjustRightInd w:val="0"/>
        <w:snapToGrid w:val="0"/>
        <w:spacing w:line="520" w:lineRule="exact"/>
        <w:ind w:firstLine="600" w:firstLineChars="200"/>
        <w:jc w:val="left"/>
        <w:rPr>
          <w:rFonts w:eastAsia="仿宋_GB2312"/>
          <w:kern w:val="0"/>
          <w:sz w:val="30"/>
          <w:szCs w:val="30"/>
        </w:rPr>
      </w:pPr>
      <w:bookmarkStart w:id="5" w:name="_Toc367634466"/>
      <w:bookmarkStart w:id="6" w:name="_Toc367635291"/>
      <w:r>
        <w:rPr>
          <w:rFonts w:eastAsia="仿宋_GB2312"/>
          <w:kern w:val="0"/>
          <w:sz w:val="30"/>
          <w:szCs w:val="30"/>
        </w:rPr>
        <w:t>1. 省教育评估院遴选熟悉高等职业教育、具有管理经验的高职院校管理专家、教育教学研究专家和行业企业专家等组建评估专家库。</w:t>
      </w:r>
    </w:p>
    <w:bookmarkEnd w:id="5"/>
    <w:bookmarkEnd w:id="6"/>
    <w:p>
      <w:pPr>
        <w:widowControl/>
        <w:adjustRightInd w:val="0"/>
        <w:snapToGrid w:val="0"/>
        <w:spacing w:line="520" w:lineRule="exact"/>
        <w:ind w:firstLine="600" w:firstLineChars="200"/>
        <w:jc w:val="left"/>
        <w:rPr>
          <w:rFonts w:eastAsia="仿宋_GB2312"/>
          <w:kern w:val="0"/>
          <w:sz w:val="30"/>
          <w:szCs w:val="30"/>
        </w:rPr>
      </w:pPr>
      <w:bookmarkStart w:id="7" w:name="_Toc367634467"/>
      <w:bookmarkStart w:id="8" w:name="_Toc367635292"/>
      <w:r>
        <w:rPr>
          <w:rFonts w:eastAsia="仿宋_GB2312"/>
          <w:kern w:val="0"/>
          <w:sz w:val="30"/>
          <w:szCs w:val="30"/>
        </w:rPr>
        <w:t>2. 实行评估对象和评估结论年度公布制度</w:t>
      </w:r>
      <w:bookmarkEnd w:id="7"/>
      <w:bookmarkEnd w:id="8"/>
      <w:r>
        <w:rPr>
          <w:rFonts w:eastAsia="仿宋_GB2312"/>
          <w:kern w:val="0"/>
          <w:sz w:val="30"/>
          <w:szCs w:val="30"/>
        </w:rPr>
        <w:t>。省教育评估院将当年接受评估的高职院校名单于年初向社会公布，并将评估结论向社会公布，接受社会监督。</w:t>
      </w:r>
    </w:p>
    <w:p>
      <w:pPr>
        <w:widowControl/>
        <w:adjustRightInd w:val="0"/>
        <w:snapToGrid w:val="0"/>
        <w:spacing w:line="520" w:lineRule="exact"/>
        <w:ind w:firstLine="600" w:firstLineChars="200"/>
        <w:jc w:val="left"/>
        <w:rPr>
          <w:rFonts w:eastAsia="仿宋_GB2312"/>
          <w:kern w:val="0"/>
          <w:sz w:val="30"/>
          <w:szCs w:val="30"/>
        </w:rPr>
      </w:pPr>
      <w:bookmarkStart w:id="9" w:name="_Toc367634468"/>
      <w:bookmarkStart w:id="10" w:name="_Toc367635293"/>
      <w:r>
        <w:rPr>
          <w:rFonts w:eastAsia="仿宋_GB2312"/>
          <w:kern w:val="0"/>
          <w:sz w:val="30"/>
          <w:szCs w:val="30"/>
        </w:rPr>
        <w:t>3. 完善评估整改工作</w:t>
      </w:r>
      <w:bookmarkEnd w:id="9"/>
      <w:bookmarkEnd w:id="10"/>
      <w:r>
        <w:rPr>
          <w:rFonts w:eastAsia="仿宋_GB2312"/>
          <w:kern w:val="0"/>
          <w:sz w:val="30"/>
          <w:szCs w:val="30"/>
        </w:rPr>
        <w:t>。省教育评估院应及时反馈评估意见，被评估院校要及时制定整改方案并报省教育评估院；学校要在规定期限内完成整改工作，向省教育厅提出整改回访的申请，由省教育厅会同省教育评估院组织整改回访。</w:t>
      </w:r>
    </w:p>
    <w:p>
      <w:pPr>
        <w:adjustRightInd w:val="0"/>
        <w:snapToGrid w:val="0"/>
        <w:spacing w:line="520" w:lineRule="exact"/>
        <w:ind w:firstLine="602" w:firstLineChars="200"/>
        <w:rPr>
          <w:rFonts w:eastAsia="楷体_GB2312"/>
          <w:b/>
          <w:kern w:val="0"/>
          <w:sz w:val="30"/>
          <w:szCs w:val="30"/>
        </w:rPr>
      </w:pPr>
      <w:bookmarkStart w:id="11" w:name="_Toc367634470"/>
      <w:bookmarkStart w:id="12" w:name="_Toc367635295"/>
      <w:bookmarkStart w:id="13" w:name="_Toc370570943"/>
      <w:r>
        <w:rPr>
          <w:rFonts w:eastAsia="楷体_GB2312"/>
          <w:b/>
          <w:kern w:val="0"/>
          <w:sz w:val="30"/>
          <w:szCs w:val="30"/>
        </w:rPr>
        <w:t>（二）基本程序</w:t>
      </w:r>
      <w:bookmarkEnd w:id="11"/>
      <w:bookmarkEnd w:id="12"/>
      <w:bookmarkEnd w:id="13"/>
    </w:p>
    <w:p>
      <w:pPr>
        <w:widowControl/>
        <w:adjustRightInd w:val="0"/>
        <w:snapToGrid w:val="0"/>
        <w:spacing w:line="520" w:lineRule="exact"/>
        <w:ind w:firstLine="602" w:firstLineChars="200"/>
        <w:jc w:val="left"/>
        <w:rPr>
          <w:rFonts w:eastAsia="仿宋_GB2312"/>
          <w:b/>
          <w:kern w:val="0"/>
          <w:sz w:val="30"/>
          <w:szCs w:val="30"/>
        </w:rPr>
      </w:pPr>
      <w:bookmarkStart w:id="14" w:name="_Toc367634471"/>
      <w:bookmarkStart w:id="15" w:name="_Toc367635296"/>
      <w:r>
        <w:rPr>
          <w:rFonts w:eastAsia="仿宋_GB2312"/>
          <w:b/>
          <w:kern w:val="0"/>
          <w:sz w:val="30"/>
          <w:szCs w:val="30"/>
        </w:rPr>
        <w:t>1. 学校自评</w:t>
      </w:r>
      <w:bookmarkEnd w:id="14"/>
      <w:bookmarkEnd w:id="15"/>
      <w:r>
        <w:rPr>
          <w:rFonts w:eastAsia="仿宋_GB2312"/>
          <w:kern w:val="0"/>
          <w:sz w:val="30"/>
          <w:szCs w:val="30"/>
        </w:rPr>
        <w:t>。</w:t>
      </w:r>
      <w:bookmarkStart w:id="16" w:name="_Toc367634472"/>
      <w:bookmarkStart w:id="17" w:name="_Toc367635297"/>
      <w:r>
        <w:rPr>
          <w:rFonts w:eastAsia="仿宋_GB2312"/>
          <w:kern w:val="0"/>
          <w:sz w:val="30"/>
          <w:szCs w:val="30"/>
        </w:rPr>
        <w:t>学校根据本方案的要求，有计划地开展自评活动，总结成绩、查找问题、分析成因、提出对策。按照“评建结合、重在建设”的要求，加强办学基本条件建设，规范教育教学过程管理，深化教育教学改革，组织利益相关者“满意度”测量、分析与改进，完善内部质量保证体系。在自评的基础上形成《学校自评报告》和《数据平台分析报告》等材料。</w:t>
      </w:r>
    </w:p>
    <w:p>
      <w:pPr>
        <w:widowControl/>
        <w:adjustRightInd w:val="0"/>
        <w:snapToGrid w:val="0"/>
        <w:spacing w:line="520" w:lineRule="exact"/>
        <w:ind w:firstLine="602" w:firstLineChars="200"/>
        <w:jc w:val="left"/>
        <w:rPr>
          <w:rFonts w:eastAsia="仿宋_GB2312"/>
          <w:kern w:val="0"/>
          <w:sz w:val="30"/>
          <w:szCs w:val="30"/>
        </w:rPr>
      </w:pPr>
      <w:r>
        <w:rPr>
          <w:rFonts w:eastAsia="仿宋_GB2312"/>
          <w:b/>
          <w:kern w:val="0"/>
          <w:sz w:val="30"/>
          <w:szCs w:val="30"/>
        </w:rPr>
        <w:t>2. 学校申请</w:t>
      </w:r>
      <w:bookmarkEnd w:id="16"/>
      <w:bookmarkEnd w:id="17"/>
      <w:r>
        <w:rPr>
          <w:rFonts w:eastAsia="仿宋_GB2312"/>
          <w:b/>
          <w:kern w:val="0"/>
          <w:sz w:val="30"/>
          <w:szCs w:val="30"/>
        </w:rPr>
        <w:t>。</w:t>
      </w:r>
      <w:r>
        <w:rPr>
          <w:rFonts w:eastAsia="仿宋_GB2312"/>
          <w:kern w:val="0"/>
          <w:sz w:val="30"/>
          <w:szCs w:val="30"/>
        </w:rPr>
        <w:t>学校在自评的基础上向省教育厅提交评估申请。省教育厅同意其评估后，学校应向省教育评估院提交以下材料：</w:t>
      </w:r>
    </w:p>
    <w:p>
      <w:pPr>
        <w:widowControl/>
        <w:adjustRightInd w:val="0"/>
        <w:snapToGrid w:val="0"/>
        <w:spacing w:line="520" w:lineRule="exact"/>
        <w:ind w:firstLine="600" w:firstLineChars="200"/>
        <w:jc w:val="left"/>
        <w:rPr>
          <w:rFonts w:eastAsia="仿宋_GB2312"/>
          <w:kern w:val="0"/>
          <w:sz w:val="30"/>
          <w:szCs w:val="30"/>
        </w:rPr>
      </w:pPr>
      <w:r>
        <w:rPr>
          <w:kern w:val="0"/>
          <w:sz w:val="30"/>
          <w:szCs w:val="30"/>
        </w:rPr>
        <w:t>（1）</w:t>
      </w:r>
      <w:r>
        <w:rPr>
          <w:rFonts w:eastAsia="仿宋_GB2312"/>
          <w:kern w:val="0"/>
          <w:sz w:val="30"/>
          <w:szCs w:val="30"/>
        </w:rPr>
        <w:t>自评报告；</w:t>
      </w:r>
    </w:p>
    <w:p>
      <w:pPr>
        <w:widowControl/>
        <w:adjustRightInd w:val="0"/>
        <w:snapToGrid w:val="0"/>
        <w:spacing w:line="520" w:lineRule="exact"/>
        <w:ind w:firstLine="600" w:firstLineChars="200"/>
        <w:jc w:val="left"/>
        <w:rPr>
          <w:rFonts w:eastAsia="仿宋_GB2312"/>
          <w:kern w:val="0"/>
          <w:sz w:val="30"/>
          <w:szCs w:val="30"/>
        </w:rPr>
      </w:pPr>
      <w:r>
        <w:rPr>
          <w:kern w:val="0"/>
          <w:sz w:val="30"/>
          <w:szCs w:val="30"/>
        </w:rPr>
        <w:t>（2）</w:t>
      </w:r>
      <w:r>
        <w:rPr>
          <w:rFonts w:eastAsia="仿宋_GB2312"/>
          <w:kern w:val="0"/>
          <w:sz w:val="30"/>
          <w:szCs w:val="30"/>
        </w:rPr>
        <w:t>近二年《高等职业院校人才培养工作状态数据》及分析报告；</w:t>
      </w:r>
    </w:p>
    <w:p>
      <w:pPr>
        <w:widowControl/>
        <w:adjustRightInd w:val="0"/>
        <w:snapToGrid w:val="0"/>
        <w:spacing w:line="520" w:lineRule="exact"/>
        <w:ind w:firstLine="600" w:firstLineChars="200"/>
        <w:jc w:val="left"/>
        <w:rPr>
          <w:rFonts w:eastAsia="仿宋_GB2312"/>
          <w:kern w:val="0"/>
          <w:sz w:val="30"/>
          <w:szCs w:val="30"/>
        </w:rPr>
      </w:pPr>
      <w:r>
        <w:rPr>
          <w:kern w:val="0"/>
          <w:sz w:val="30"/>
          <w:szCs w:val="30"/>
        </w:rPr>
        <w:t>（3）学校</w:t>
      </w:r>
      <w:r>
        <w:rPr>
          <w:rFonts w:eastAsia="仿宋_GB2312"/>
          <w:kern w:val="0"/>
          <w:sz w:val="30"/>
          <w:szCs w:val="30"/>
        </w:rPr>
        <w:t xml:space="preserve">《章程》及《学校自评报告》涉及的相关管理制度； </w:t>
      </w:r>
    </w:p>
    <w:p>
      <w:pPr>
        <w:widowControl/>
        <w:adjustRightInd w:val="0"/>
        <w:snapToGrid w:val="0"/>
        <w:spacing w:line="520" w:lineRule="exact"/>
        <w:ind w:firstLine="600" w:firstLineChars="200"/>
        <w:jc w:val="left"/>
        <w:rPr>
          <w:rFonts w:eastAsia="仿宋_GB2312"/>
          <w:kern w:val="0"/>
          <w:sz w:val="30"/>
          <w:szCs w:val="30"/>
        </w:rPr>
      </w:pPr>
      <w:r>
        <w:rPr>
          <w:kern w:val="0"/>
          <w:sz w:val="30"/>
          <w:szCs w:val="30"/>
        </w:rPr>
        <w:t>（4）</w:t>
      </w:r>
      <w:r>
        <w:rPr>
          <w:rFonts w:eastAsia="仿宋_GB2312"/>
          <w:kern w:val="0"/>
          <w:sz w:val="30"/>
          <w:szCs w:val="30"/>
        </w:rPr>
        <w:t>学校事业发展规划；</w:t>
      </w:r>
    </w:p>
    <w:p>
      <w:pPr>
        <w:widowControl/>
        <w:adjustRightInd w:val="0"/>
        <w:snapToGrid w:val="0"/>
        <w:spacing w:line="520" w:lineRule="exact"/>
        <w:ind w:firstLine="600" w:firstLineChars="200"/>
        <w:jc w:val="left"/>
        <w:rPr>
          <w:rFonts w:eastAsia="仿宋_GB2312"/>
          <w:kern w:val="0"/>
          <w:sz w:val="30"/>
          <w:szCs w:val="30"/>
        </w:rPr>
      </w:pPr>
      <w:r>
        <w:rPr>
          <w:kern w:val="0"/>
          <w:sz w:val="30"/>
          <w:szCs w:val="30"/>
        </w:rPr>
        <w:t>（5）</w:t>
      </w:r>
      <w:r>
        <w:rPr>
          <w:rFonts w:eastAsia="仿宋_GB2312"/>
          <w:kern w:val="0"/>
          <w:sz w:val="30"/>
          <w:szCs w:val="30"/>
        </w:rPr>
        <w:t>教育质量年度报告。</w:t>
      </w:r>
    </w:p>
    <w:p>
      <w:pPr>
        <w:widowControl/>
        <w:adjustRightInd w:val="0"/>
        <w:snapToGrid w:val="0"/>
        <w:spacing w:line="520" w:lineRule="exact"/>
        <w:ind w:firstLine="600" w:firstLineChars="200"/>
        <w:jc w:val="left"/>
        <w:rPr>
          <w:rFonts w:eastAsia="仿宋_GB2312"/>
          <w:kern w:val="0"/>
          <w:sz w:val="30"/>
          <w:szCs w:val="30"/>
        </w:rPr>
      </w:pPr>
      <w:r>
        <w:rPr>
          <w:rFonts w:eastAsia="仿宋_GB2312"/>
          <w:kern w:val="0"/>
          <w:sz w:val="30"/>
          <w:szCs w:val="30"/>
        </w:rPr>
        <w:t>上述所有申报材料于专家组进校前30天在校园网上对社会公布。</w:t>
      </w:r>
    </w:p>
    <w:p>
      <w:pPr>
        <w:widowControl/>
        <w:adjustRightInd w:val="0"/>
        <w:snapToGrid w:val="0"/>
        <w:spacing w:line="520" w:lineRule="exact"/>
        <w:ind w:firstLine="602" w:firstLineChars="200"/>
        <w:jc w:val="left"/>
        <w:rPr>
          <w:rFonts w:eastAsia="仿宋_GB2312"/>
          <w:kern w:val="0"/>
          <w:sz w:val="30"/>
          <w:szCs w:val="30"/>
        </w:rPr>
      </w:pPr>
      <w:bookmarkStart w:id="18" w:name="_Toc367634473"/>
      <w:bookmarkStart w:id="19" w:name="_Toc367635298"/>
      <w:r>
        <w:rPr>
          <w:rFonts w:eastAsia="仿宋_GB2312"/>
          <w:b/>
          <w:kern w:val="0"/>
          <w:sz w:val="30"/>
          <w:szCs w:val="30"/>
        </w:rPr>
        <w:t>3. 资格审查</w:t>
      </w:r>
      <w:bookmarkEnd w:id="18"/>
      <w:bookmarkEnd w:id="19"/>
      <w:r>
        <w:rPr>
          <w:rFonts w:eastAsia="仿宋_GB2312"/>
          <w:b/>
          <w:kern w:val="0"/>
          <w:sz w:val="30"/>
          <w:szCs w:val="30"/>
        </w:rPr>
        <w:t>。</w:t>
      </w:r>
      <w:r>
        <w:rPr>
          <w:rFonts w:eastAsia="仿宋_GB2312"/>
          <w:kern w:val="0"/>
          <w:sz w:val="30"/>
          <w:szCs w:val="30"/>
        </w:rPr>
        <w:t>省教育评估院在接到相关院校评估申请后30个工作日内，组织专家对申请院校的条件进行核查。核查通过的学校则准予接受评估、列入现场考察计划。对于核查未通过的院校，省教育厅将指导其端正办学思想、领会评估精神，达到评估条件后再次提出评估申请。</w:t>
      </w:r>
    </w:p>
    <w:p>
      <w:pPr>
        <w:widowControl/>
        <w:adjustRightInd w:val="0"/>
        <w:snapToGrid w:val="0"/>
        <w:spacing w:line="520" w:lineRule="exact"/>
        <w:ind w:firstLine="602" w:firstLineChars="200"/>
        <w:jc w:val="left"/>
        <w:rPr>
          <w:rFonts w:eastAsia="仿宋_GB2312"/>
          <w:kern w:val="0"/>
          <w:sz w:val="30"/>
          <w:szCs w:val="30"/>
        </w:rPr>
      </w:pPr>
      <w:bookmarkStart w:id="20" w:name="_Toc367634474"/>
      <w:bookmarkStart w:id="21" w:name="_Toc367635299"/>
      <w:r>
        <w:rPr>
          <w:rFonts w:eastAsia="仿宋_GB2312"/>
          <w:b/>
          <w:kern w:val="0"/>
          <w:sz w:val="30"/>
          <w:szCs w:val="30"/>
        </w:rPr>
        <w:t>4. 组建专家组</w:t>
      </w:r>
      <w:bookmarkEnd w:id="20"/>
      <w:bookmarkEnd w:id="21"/>
      <w:r>
        <w:rPr>
          <w:rFonts w:eastAsia="仿宋_GB2312"/>
          <w:b/>
          <w:kern w:val="0"/>
          <w:sz w:val="30"/>
          <w:szCs w:val="30"/>
        </w:rPr>
        <w:t>。</w:t>
      </w:r>
      <w:r>
        <w:rPr>
          <w:rFonts w:eastAsia="仿宋_GB2312"/>
          <w:kern w:val="0"/>
          <w:sz w:val="30"/>
          <w:szCs w:val="30"/>
        </w:rPr>
        <w:t xml:space="preserve"> 省教育评估院根据被评院校规模与校区结构、自报主要专业类别等因素，在评估专家库中选择专家组成专家组，并向社会公布。专家组人数一般8-9人（含秘书），专家组实行组长负责制。</w:t>
      </w:r>
    </w:p>
    <w:p>
      <w:pPr>
        <w:widowControl/>
        <w:adjustRightInd w:val="0"/>
        <w:snapToGrid w:val="0"/>
        <w:spacing w:line="520" w:lineRule="exact"/>
        <w:ind w:firstLine="600" w:firstLineChars="200"/>
        <w:jc w:val="left"/>
        <w:rPr>
          <w:rFonts w:eastAsia="仿宋_GB2312"/>
          <w:kern w:val="0"/>
          <w:sz w:val="30"/>
          <w:szCs w:val="30"/>
        </w:rPr>
      </w:pPr>
      <w:bookmarkStart w:id="22" w:name="_Toc367635300"/>
      <w:bookmarkStart w:id="23" w:name="_Toc367634475"/>
      <w:r>
        <w:rPr>
          <w:rFonts w:eastAsia="仿宋_GB2312"/>
          <w:kern w:val="0"/>
          <w:sz w:val="30"/>
          <w:szCs w:val="30"/>
        </w:rPr>
        <w:t>专家组成员与被评院校有下列情况，应主动向省教育厅申请回避：现任职或受聘于被评院校；被评院校上级主管部门人员；直系亲属在被评院校工作或受聘于被评院校；其它有违公正原则应该回避的情形。</w:t>
      </w:r>
    </w:p>
    <w:p>
      <w:pPr>
        <w:widowControl/>
        <w:adjustRightInd w:val="0"/>
        <w:snapToGrid w:val="0"/>
        <w:spacing w:line="520" w:lineRule="exact"/>
        <w:ind w:firstLine="602" w:firstLineChars="200"/>
        <w:jc w:val="left"/>
        <w:rPr>
          <w:rFonts w:eastAsia="仿宋_GB2312"/>
          <w:kern w:val="0"/>
          <w:sz w:val="30"/>
          <w:szCs w:val="30"/>
        </w:rPr>
      </w:pPr>
      <w:r>
        <w:rPr>
          <w:rFonts w:eastAsia="仿宋_GB2312"/>
          <w:b/>
          <w:kern w:val="0"/>
          <w:sz w:val="30"/>
          <w:szCs w:val="30"/>
        </w:rPr>
        <w:t>5. 平台数据分析。</w:t>
      </w:r>
      <w:r>
        <w:rPr>
          <w:rFonts w:eastAsia="仿宋_GB2312"/>
          <w:kern w:val="0"/>
          <w:sz w:val="30"/>
          <w:szCs w:val="30"/>
        </w:rPr>
        <w:t>评估主要采取“申请材料分析+现场考察”的方式。专家组进校前对《状态数据采集平台》数据进行（分析）预审，提出初步预审意见，确定现场考察重点，并将预审意见发给专家组长。</w:t>
      </w:r>
    </w:p>
    <w:p>
      <w:pPr>
        <w:widowControl/>
        <w:adjustRightInd w:val="0"/>
        <w:snapToGrid w:val="0"/>
        <w:spacing w:line="520" w:lineRule="exact"/>
        <w:ind w:firstLine="602" w:firstLineChars="200"/>
        <w:jc w:val="left"/>
        <w:rPr>
          <w:rFonts w:eastAsia="仿宋_GB2312"/>
          <w:kern w:val="0"/>
          <w:sz w:val="30"/>
          <w:szCs w:val="30"/>
        </w:rPr>
      </w:pPr>
      <w:r>
        <w:rPr>
          <w:rFonts w:eastAsia="仿宋_GB2312"/>
          <w:b/>
          <w:kern w:val="0"/>
          <w:sz w:val="30"/>
          <w:szCs w:val="30"/>
        </w:rPr>
        <w:t>6. 现场考察</w:t>
      </w:r>
      <w:bookmarkEnd w:id="22"/>
      <w:bookmarkEnd w:id="23"/>
      <w:r>
        <w:rPr>
          <w:rFonts w:eastAsia="仿宋_GB2312"/>
          <w:b/>
          <w:kern w:val="0"/>
          <w:sz w:val="30"/>
          <w:szCs w:val="30"/>
        </w:rPr>
        <w:t>。</w:t>
      </w:r>
      <w:r>
        <w:rPr>
          <w:rFonts w:eastAsia="仿宋_GB2312"/>
          <w:spacing w:val="-4"/>
          <w:kern w:val="0"/>
          <w:sz w:val="30"/>
          <w:szCs w:val="30"/>
        </w:rPr>
        <w:t>专家组在审核《学校自评报告》和《数据平台分析报告》等材料基础上，制定现场考察方案。通过听取汇报、深度访谈、专业剖析、课程标准解读、说课和听课、查阅资料、现场察看、“满意度”测量等形式开展现场考察，最后形成评估考察意见，并在离校前向学校反馈（不含评估结论建议）。</w:t>
      </w:r>
      <w:r>
        <w:rPr>
          <w:rFonts w:eastAsia="仿宋_GB2312"/>
          <w:kern w:val="0"/>
          <w:sz w:val="30"/>
          <w:szCs w:val="30"/>
        </w:rPr>
        <w:t>离校后专家组向省教育评估院提交评估报告。现场考察时间一般为3天。</w:t>
      </w:r>
    </w:p>
    <w:p>
      <w:pPr>
        <w:widowControl/>
        <w:adjustRightInd w:val="0"/>
        <w:snapToGrid w:val="0"/>
        <w:spacing w:line="520" w:lineRule="exact"/>
        <w:ind w:firstLine="602" w:firstLineChars="200"/>
        <w:jc w:val="left"/>
        <w:rPr>
          <w:rFonts w:eastAsia="仿宋_GB2312"/>
          <w:kern w:val="0"/>
          <w:sz w:val="30"/>
          <w:szCs w:val="30"/>
        </w:rPr>
      </w:pPr>
      <w:bookmarkStart w:id="24" w:name="_Toc367634476"/>
      <w:bookmarkStart w:id="25" w:name="_Toc367635301"/>
      <w:r>
        <w:rPr>
          <w:rFonts w:eastAsia="仿宋_GB2312"/>
          <w:b/>
          <w:kern w:val="0"/>
          <w:sz w:val="30"/>
          <w:szCs w:val="30"/>
        </w:rPr>
        <w:t>7. 确定结论</w:t>
      </w:r>
      <w:bookmarkEnd w:id="24"/>
      <w:bookmarkEnd w:id="25"/>
      <w:r>
        <w:rPr>
          <w:rFonts w:eastAsia="仿宋_GB2312"/>
          <w:b/>
          <w:kern w:val="0"/>
          <w:sz w:val="30"/>
          <w:szCs w:val="30"/>
        </w:rPr>
        <w:t>。</w:t>
      </w:r>
      <w:r>
        <w:rPr>
          <w:rFonts w:eastAsia="仿宋_GB2312"/>
          <w:kern w:val="0"/>
          <w:sz w:val="30"/>
          <w:szCs w:val="30"/>
        </w:rPr>
        <w:t>省教育评估院将专家评估结论建议和评估报告报省教育厅审定，由省教育厅公布“通过”、“暂缓通过”、“不通过”学校名单和评估专家组名单，共同接受社会监督。评估报告下发到被评学校及其主管部门。</w:t>
      </w:r>
    </w:p>
    <w:p>
      <w:pPr>
        <w:widowControl/>
        <w:adjustRightInd w:val="0"/>
        <w:snapToGrid w:val="0"/>
        <w:spacing w:line="520" w:lineRule="exact"/>
        <w:ind w:firstLine="602" w:firstLineChars="200"/>
        <w:jc w:val="left"/>
        <w:rPr>
          <w:rFonts w:eastAsia="仿宋_GB2312"/>
          <w:kern w:val="0"/>
          <w:sz w:val="30"/>
          <w:szCs w:val="30"/>
        </w:rPr>
      </w:pPr>
      <w:bookmarkStart w:id="26" w:name="_Toc367634477"/>
      <w:bookmarkStart w:id="27" w:name="_Toc367635302"/>
      <w:r>
        <w:rPr>
          <w:rFonts w:eastAsia="仿宋_GB2312"/>
          <w:b/>
          <w:kern w:val="0"/>
          <w:sz w:val="30"/>
          <w:szCs w:val="30"/>
        </w:rPr>
        <w:t>8. 整改</w:t>
      </w:r>
      <w:bookmarkEnd w:id="26"/>
      <w:bookmarkEnd w:id="27"/>
      <w:r>
        <w:rPr>
          <w:rFonts w:eastAsia="仿宋_GB2312"/>
          <w:b/>
          <w:kern w:val="0"/>
          <w:sz w:val="30"/>
          <w:szCs w:val="30"/>
        </w:rPr>
        <w:t>回访。</w:t>
      </w:r>
      <w:r>
        <w:rPr>
          <w:rFonts w:eastAsia="仿宋_GB2312"/>
          <w:kern w:val="0"/>
          <w:sz w:val="30"/>
          <w:szCs w:val="30"/>
        </w:rPr>
        <w:t>省教育厅根据省内评估工作进展，学校整改情况，会同是教育评估院组织专家进行整改回访。整改回访以访谈和查阅相关资料等方式进行。</w:t>
      </w:r>
      <w:bookmarkStart w:id="28" w:name="_Toc367634478"/>
      <w:bookmarkStart w:id="29" w:name="_Toc367635303"/>
      <w:bookmarkStart w:id="30" w:name="_Toc370570944"/>
      <w:r>
        <w:rPr>
          <w:rFonts w:eastAsia="仿宋_GB2312"/>
          <w:kern w:val="0"/>
          <w:sz w:val="30"/>
          <w:szCs w:val="30"/>
        </w:rPr>
        <w:t>省教育厅将根据回访专家组的意见确定评估结论。</w:t>
      </w:r>
    </w:p>
    <w:p>
      <w:pPr>
        <w:adjustRightInd w:val="0"/>
        <w:snapToGrid w:val="0"/>
        <w:spacing w:before="62" w:beforeLines="20" w:after="62" w:afterLines="20" w:line="520" w:lineRule="exact"/>
        <w:ind w:firstLine="600" w:firstLineChars="200"/>
        <w:rPr>
          <w:rFonts w:eastAsia="黑体"/>
          <w:bCs/>
          <w:sz w:val="30"/>
          <w:szCs w:val="30"/>
        </w:rPr>
      </w:pPr>
      <w:r>
        <w:rPr>
          <w:rFonts w:eastAsia="黑体"/>
          <w:bCs/>
          <w:sz w:val="30"/>
          <w:szCs w:val="30"/>
        </w:rPr>
        <w:t>八、评估纪律与监督</w:t>
      </w:r>
    </w:p>
    <w:p>
      <w:pPr>
        <w:adjustRightInd w:val="0"/>
        <w:snapToGrid w:val="0"/>
        <w:spacing w:line="312" w:lineRule="auto"/>
        <w:ind w:firstLine="600" w:firstLineChars="200"/>
        <w:rPr>
          <w:rFonts w:eastAsia="仿宋_GB2312"/>
          <w:sz w:val="30"/>
          <w:szCs w:val="30"/>
        </w:rPr>
      </w:pPr>
      <w:r>
        <w:rPr>
          <w:rFonts w:eastAsia="仿宋_GB2312"/>
          <w:sz w:val="30"/>
          <w:szCs w:val="30"/>
        </w:rPr>
        <w:t>（一）评估工作不得影响学校正常的教学秩序，须严肃认真执行中央八项规定。</w:t>
      </w:r>
    </w:p>
    <w:p>
      <w:pPr>
        <w:adjustRightInd w:val="0"/>
        <w:snapToGrid w:val="0"/>
        <w:spacing w:line="312" w:lineRule="auto"/>
        <w:ind w:firstLine="600" w:firstLineChars="200"/>
        <w:rPr>
          <w:rFonts w:eastAsia="仿宋_GB2312"/>
          <w:sz w:val="30"/>
          <w:szCs w:val="30"/>
        </w:rPr>
      </w:pPr>
      <w:r>
        <w:rPr>
          <w:rFonts w:eastAsia="仿宋_GB2312"/>
          <w:sz w:val="30"/>
          <w:szCs w:val="30"/>
        </w:rPr>
        <w:t>（二）专家组成员要坚持评估的原则和要求，客观、公平、公正地对各院校进行评估。廉洁自律，自觉抵制社会不良风气的干扰，对有碍评估工作公正性、严肃性的不正当做法，予以抵制并向上级部门反映。</w:t>
      </w:r>
    </w:p>
    <w:p>
      <w:pPr>
        <w:adjustRightInd w:val="0"/>
        <w:snapToGrid w:val="0"/>
        <w:spacing w:line="312" w:lineRule="auto"/>
        <w:ind w:firstLine="600" w:firstLineChars="200"/>
        <w:rPr>
          <w:rFonts w:eastAsia="仿宋_GB2312"/>
          <w:sz w:val="30"/>
          <w:szCs w:val="30"/>
        </w:rPr>
      </w:pPr>
      <w:r>
        <w:rPr>
          <w:rFonts w:eastAsia="仿宋_GB2312"/>
          <w:sz w:val="30"/>
          <w:szCs w:val="30"/>
        </w:rPr>
        <w:t>（三）评估要注重求真务实，简化评估汇报、反馈程序。不举行开幕仪式，不得为评估准备专场演出，不得安排与评估工作无关的考察或联谊活动。学校可为评估设置联络办公室，临时配备少量工作人员为专家组评估服务，不得为每位专家专门配备联络员。评估专家组成员名单确定后，学校不得拜访评估专家。</w:t>
      </w:r>
    </w:p>
    <w:p>
      <w:pPr>
        <w:adjustRightInd w:val="0"/>
        <w:snapToGrid w:val="0"/>
        <w:spacing w:line="312" w:lineRule="auto"/>
        <w:ind w:firstLine="600" w:firstLineChars="200"/>
        <w:rPr>
          <w:rFonts w:eastAsia="仿宋_GB2312"/>
          <w:sz w:val="30"/>
          <w:szCs w:val="30"/>
        </w:rPr>
      </w:pPr>
      <w:r>
        <w:rPr>
          <w:rFonts w:eastAsia="仿宋_GB2312"/>
          <w:sz w:val="30"/>
          <w:szCs w:val="30"/>
        </w:rPr>
        <w:t>（四）保守评估秘密。专家组成员在省教育厅公布评估结论前不得直接或间接透露评估秘密，不泄露专家组成员在评估过程中发表的个人意见等。</w:t>
      </w:r>
    </w:p>
    <w:p>
      <w:pPr>
        <w:adjustRightInd w:val="0"/>
        <w:snapToGrid w:val="0"/>
        <w:spacing w:line="312" w:lineRule="auto"/>
        <w:ind w:firstLine="600" w:firstLineChars="200"/>
        <w:rPr>
          <w:rFonts w:eastAsia="仿宋_GB2312"/>
          <w:sz w:val="30"/>
          <w:szCs w:val="30"/>
        </w:rPr>
      </w:pPr>
      <w:r>
        <w:rPr>
          <w:rFonts w:eastAsia="仿宋_GB2312"/>
          <w:sz w:val="30"/>
          <w:szCs w:val="30"/>
        </w:rPr>
        <w:t>（五）学校对专家组的接待工作要从简，不得安排超过三星以上标准的宾馆住宿，主要在校内就餐。不得向专家赠送礼品和礼金，或变相发放补贴。专家评估费由省财政支付。</w:t>
      </w:r>
    </w:p>
    <w:p>
      <w:pPr>
        <w:adjustRightInd w:val="0"/>
        <w:snapToGrid w:val="0"/>
        <w:spacing w:line="312" w:lineRule="auto"/>
        <w:ind w:firstLine="600" w:firstLineChars="200"/>
        <w:rPr>
          <w:rFonts w:eastAsia="仿宋_GB2312"/>
          <w:sz w:val="30"/>
          <w:szCs w:val="30"/>
        </w:rPr>
      </w:pPr>
      <w:r>
        <w:rPr>
          <w:rFonts w:eastAsia="仿宋_GB2312"/>
          <w:sz w:val="30"/>
          <w:szCs w:val="30"/>
        </w:rPr>
        <w:t>（六）对于违反上述规定的院校，省教育厅将根据具体情况对评估结果实行一票否决；对于违反上述规定的专家，2年内不再聘为评估专家。</w:t>
      </w:r>
    </w:p>
    <w:p>
      <w:pPr>
        <w:adjustRightInd w:val="0"/>
        <w:snapToGrid w:val="0"/>
        <w:spacing w:line="312" w:lineRule="auto"/>
        <w:ind w:firstLine="600" w:firstLineChars="200"/>
        <w:rPr>
          <w:rFonts w:eastAsia="仿宋_GB2312"/>
          <w:sz w:val="30"/>
          <w:szCs w:val="30"/>
        </w:rPr>
      </w:pPr>
    </w:p>
    <w:bookmarkEnd w:id="28"/>
    <w:bookmarkEnd w:id="29"/>
    <w:bookmarkEnd w:id="30"/>
    <w:p>
      <w:pPr>
        <w:adjustRightInd w:val="0"/>
        <w:snapToGrid w:val="0"/>
        <w:spacing w:line="520" w:lineRule="exact"/>
        <w:ind w:firstLine="600" w:firstLineChars="200"/>
        <w:rPr>
          <w:rFonts w:eastAsia="仿宋_GB2312"/>
          <w:kern w:val="0"/>
          <w:sz w:val="30"/>
          <w:szCs w:val="30"/>
        </w:rPr>
      </w:pPr>
      <w:r>
        <w:rPr>
          <w:rFonts w:eastAsia="仿宋_GB2312"/>
          <w:kern w:val="0"/>
          <w:sz w:val="30"/>
          <w:szCs w:val="30"/>
        </w:rPr>
        <w:t>附：1.江苏省新建高等职业院校人才培养工作合格评估指标</w:t>
      </w:r>
    </w:p>
    <w:p>
      <w:pPr>
        <w:adjustRightInd w:val="0"/>
        <w:snapToGrid w:val="0"/>
        <w:spacing w:line="520" w:lineRule="exact"/>
        <w:ind w:left="1402" w:leftChars="532" w:hanging="285" w:hangingChars="95"/>
        <w:rPr>
          <w:rFonts w:eastAsia="仿宋_GB2312"/>
          <w:kern w:val="0"/>
          <w:sz w:val="30"/>
          <w:szCs w:val="30"/>
        </w:rPr>
      </w:pPr>
      <w:r>
        <w:rPr>
          <w:rFonts w:eastAsia="仿宋_GB2312"/>
          <w:kern w:val="0"/>
          <w:sz w:val="30"/>
          <w:szCs w:val="30"/>
        </w:rPr>
        <w:t>2.江苏省新建高等职业院校人才培养工作合格评估结论标准</w:t>
      </w:r>
    </w:p>
    <w:p>
      <w:pPr>
        <w:adjustRightInd w:val="0"/>
        <w:snapToGrid w:val="0"/>
        <w:spacing w:line="520" w:lineRule="exact"/>
        <w:ind w:left="1402" w:leftChars="532" w:hanging="285" w:hangingChars="95"/>
        <w:rPr>
          <w:rFonts w:eastAsia="仿宋_GB2312"/>
          <w:kern w:val="0"/>
          <w:sz w:val="30"/>
          <w:szCs w:val="30"/>
        </w:rPr>
      </w:pPr>
      <w:r>
        <w:rPr>
          <w:rFonts w:eastAsia="仿宋_GB2312"/>
          <w:kern w:val="0"/>
          <w:sz w:val="30"/>
          <w:szCs w:val="30"/>
        </w:rPr>
        <w:t xml:space="preserve">3.江苏省新建高等职业院校人才培养工作合格评估现场考察工作指南    </w:t>
      </w:r>
    </w:p>
    <w:p>
      <w:pPr>
        <w:adjustRightInd w:val="0"/>
        <w:snapToGrid w:val="0"/>
        <w:spacing w:line="400" w:lineRule="exact"/>
        <w:rPr>
          <w:rFonts w:eastAsia="仿宋_GB2312"/>
          <w:sz w:val="30"/>
          <w:szCs w:val="30"/>
        </w:rPr>
      </w:pPr>
      <w:r>
        <w:rPr>
          <w:kern w:val="0"/>
          <w:sz w:val="24"/>
        </w:rPr>
        <w:br w:type="page"/>
      </w:r>
      <w:r>
        <w:rPr>
          <w:rFonts w:eastAsia="仿宋_GB2312"/>
          <w:sz w:val="30"/>
          <w:szCs w:val="30"/>
        </w:rPr>
        <w:t>附1</w:t>
      </w:r>
    </w:p>
    <w:p>
      <w:pPr>
        <w:adjustRightInd w:val="0"/>
        <w:snapToGrid w:val="0"/>
        <w:spacing w:after="156" w:afterLines="50" w:line="400" w:lineRule="exact"/>
        <w:jc w:val="center"/>
        <w:rPr>
          <w:rFonts w:eastAsia="黑体"/>
          <w:sz w:val="24"/>
        </w:rPr>
      </w:pPr>
      <w:r>
        <w:rPr>
          <w:rFonts w:eastAsia="黑体"/>
          <w:sz w:val="30"/>
          <w:szCs w:val="30"/>
        </w:rPr>
        <w:t xml:space="preserve"> 江苏省新建高等职业院校人才培养工作合格评估指标</w:t>
      </w:r>
    </w:p>
    <w:tbl>
      <w:tblPr>
        <w:tblStyle w:val="6"/>
        <w:tblW w:w="85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727"/>
        <w:gridCol w:w="48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5" w:hRule="exact"/>
          <w:tblHeader/>
          <w:jc w:val="center"/>
        </w:trPr>
        <w:tc>
          <w:tcPr>
            <w:tcW w:w="3727" w:type="dxa"/>
            <w:vAlign w:val="center"/>
          </w:tcPr>
          <w:p>
            <w:pPr>
              <w:adjustRightInd w:val="0"/>
              <w:snapToGrid w:val="0"/>
              <w:spacing w:line="260" w:lineRule="exact"/>
              <w:jc w:val="center"/>
              <w:rPr>
                <w:b/>
                <w:sz w:val="24"/>
              </w:rPr>
            </w:pPr>
            <w:r>
              <w:rPr>
                <w:b/>
                <w:sz w:val="24"/>
              </w:rPr>
              <w:t>主要评估指标</w:t>
            </w:r>
          </w:p>
        </w:tc>
        <w:tc>
          <w:tcPr>
            <w:tcW w:w="4819" w:type="dxa"/>
            <w:vAlign w:val="center"/>
          </w:tcPr>
          <w:p>
            <w:pPr>
              <w:adjustRightInd w:val="0"/>
              <w:snapToGrid w:val="0"/>
              <w:spacing w:line="260" w:lineRule="exact"/>
              <w:jc w:val="center"/>
              <w:rPr>
                <w:b/>
                <w:sz w:val="24"/>
              </w:rPr>
            </w:pPr>
            <w:r>
              <w:rPr>
                <w:b/>
                <w:sz w:val="24"/>
              </w:rPr>
              <w:t>关键评估要素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restart"/>
            <w:shd w:val="clear" w:color="auto" w:fill="auto"/>
            <w:vAlign w:val="center"/>
          </w:tcPr>
          <w:p>
            <w:pPr>
              <w:adjustRightInd w:val="0"/>
              <w:snapToGrid w:val="0"/>
              <w:spacing w:line="260" w:lineRule="exact"/>
              <w:ind w:firstLine="240" w:firstLineChars="100"/>
              <w:jc w:val="left"/>
              <w:rPr>
                <w:sz w:val="24"/>
              </w:rPr>
            </w:pPr>
            <w:r>
              <w:rPr>
                <w:sz w:val="24"/>
              </w:rPr>
              <w:t>1.办学思路</w:t>
            </w:r>
          </w:p>
        </w:tc>
        <w:tc>
          <w:tcPr>
            <w:tcW w:w="4819" w:type="dxa"/>
            <w:shd w:val="clear" w:color="auto" w:fill="FFFFFF"/>
            <w:vAlign w:val="center"/>
          </w:tcPr>
          <w:p>
            <w:pPr>
              <w:adjustRightInd w:val="0"/>
              <w:snapToGrid w:val="0"/>
              <w:spacing w:line="300" w:lineRule="exact"/>
              <w:ind w:firstLine="240" w:firstLineChars="100"/>
              <w:jc w:val="left"/>
              <w:rPr>
                <w:sz w:val="24"/>
              </w:rPr>
            </w:pPr>
            <w:r>
              <w:rPr>
                <w:sz w:val="24"/>
              </w:rPr>
              <w:t>1.1办学定位*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1.2 内部治理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1.3事业发展规划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1.4 立德树人理念*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restart"/>
            <w:shd w:val="clear" w:color="auto" w:fill="auto"/>
            <w:vAlign w:val="center"/>
          </w:tcPr>
          <w:p>
            <w:pPr>
              <w:adjustRightInd w:val="0"/>
              <w:snapToGrid w:val="0"/>
              <w:spacing w:line="260" w:lineRule="exact"/>
              <w:ind w:firstLine="240" w:firstLineChars="100"/>
              <w:jc w:val="left"/>
              <w:rPr>
                <w:sz w:val="24"/>
                <w:u w:val="single"/>
              </w:rPr>
            </w:pPr>
            <w:r>
              <w:rPr>
                <w:sz w:val="24"/>
              </w:rPr>
              <w:t>2. 师资队伍</w:t>
            </w: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2.1专任教师*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2.2兼职教师*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2.3教师培养与发展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restart"/>
            <w:shd w:val="clear" w:color="auto" w:fill="auto"/>
            <w:vAlign w:val="center"/>
          </w:tcPr>
          <w:p>
            <w:pPr>
              <w:adjustRightInd w:val="0"/>
              <w:snapToGrid w:val="0"/>
              <w:spacing w:line="260" w:lineRule="exact"/>
              <w:ind w:firstLine="240" w:firstLineChars="100"/>
              <w:jc w:val="left"/>
              <w:rPr>
                <w:sz w:val="24"/>
              </w:rPr>
            </w:pPr>
            <w:r>
              <w:rPr>
                <w:sz w:val="24"/>
              </w:rPr>
              <w:t>3.教学条件</w:t>
            </w: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3.1校内实训条件建设*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3.2校外实习条件建设*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3.3经费保障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restart"/>
            <w:shd w:val="clear" w:color="auto" w:fill="auto"/>
            <w:vAlign w:val="center"/>
          </w:tcPr>
          <w:p>
            <w:pPr>
              <w:adjustRightInd w:val="0"/>
              <w:snapToGrid w:val="0"/>
              <w:spacing w:line="260" w:lineRule="exact"/>
              <w:ind w:firstLine="240" w:firstLineChars="100"/>
              <w:jc w:val="left"/>
              <w:rPr>
                <w:sz w:val="24"/>
              </w:rPr>
            </w:pPr>
            <w:r>
              <w:rPr>
                <w:sz w:val="24"/>
              </w:rPr>
              <w:t>4.专业建设</w:t>
            </w: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4.1校企业合作体制机制建设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ind w:firstLine="454"/>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4.2专业设置（调整）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ind w:firstLine="454"/>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4.3人才培养模式与方案*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ind w:firstLine="454"/>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4.4课程建设*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4.5教学方法与手段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4.6实践教学*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restart"/>
            <w:shd w:val="clear" w:color="auto" w:fill="auto"/>
            <w:vAlign w:val="center"/>
          </w:tcPr>
          <w:p>
            <w:pPr>
              <w:adjustRightInd w:val="0"/>
              <w:snapToGrid w:val="0"/>
              <w:spacing w:line="260" w:lineRule="exact"/>
              <w:ind w:firstLine="240" w:firstLineChars="100"/>
              <w:jc w:val="left"/>
              <w:rPr>
                <w:sz w:val="24"/>
              </w:rPr>
            </w:pPr>
            <w:r>
              <w:rPr>
                <w:sz w:val="24"/>
              </w:rPr>
              <w:t>5.学生教育管理与服务</w:t>
            </w: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5.1学生教育*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5.2学生管理*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5.3学生服务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restart"/>
            <w:shd w:val="clear" w:color="auto" w:fill="auto"/>
            <w:vAlign w:val="center"/>
          </w:tcPr>
          <w:p>
            <w:pPr>
              <w:adjustRightInd w:val="0"/>
              <w:snapToGrid w:val="0"/>
              <w:spacing w:line="260" w:lineRule="exact"/>
              <w:ind w:firstLine="240" w:firstLineChars="100"/>
              <w:jc w:val="left"/>
              <w:rPr>
                <w:sz w:val="24"/>
              </w:rPr>
            </w:pPr>
            <w:r>
              <w:rPr>
                <w:sz w:val="24"/>
              </w:rPr>
              <w:t>6.科技研究与社会服务</w:t>
            </w: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6.1科技研究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left"/>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6.2社会服务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restart"/>
            <w:shd w:val="clear" w:color="auto" w:fill="auto"/>
            <w:vAlign w:val="center"/>
          </w:tcPr>
          <w:p>
            <w:pPr>
              <w:adjustRightInd w:val="0"/>
              <w:snapToGrid w:val="0"/>
              <w:spacing w:line="260" w:lineRule="exact"/>
              <w:ind w:firstLine="240" w:firstLineChars="100"/>
              <w:jc w:val="left"/>
              <w:rPr>
                <w:sz w:val="24"/>
              </w:rPr>
            </w:pPr>
            <w:r>
              <w:rPr>
                <w:sz w:val="24"/>
              </w:rPr>
              <w:t>7.质量保证</w:t>
            </w: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7.1质量管理体制建设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center"/>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7.2质量标准体系建设*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center"/>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7.3质量诊断与改进体系建设*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ind w:firstLine="454"/>
              <w:jc w:val="center"/>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7.4建立质量报告制度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restart"/>
            <w:shd w:val="clear" w:color="auto" w:fill="auto"/>
            <w:vAlign w:val="center"/>
          </w:tcPr>
          <w:p>
            <w:pPr>
              <w:adjustRightInd w:val="0"/>
              <w:snapToGrid w:val="0"/>
              <w:spacing w:line="260" w:lineRule="exact"/>
              <w:ind w:firstLine="240" w:firstLineChars="100"/>
              <w:jc w:val="left"/>
              <w:rPr>
                <w:sz w:val="24"/>
              </w:rPr>
            </w:pPr>
            <w:r>
              <w:rPr>
                <w:sz w:val="24"/>
              </w:rPr>
              <w:t>8.社会认同</w:t>
            </w: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8.1招生*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center"/>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8.2就业*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69" w:hRule="exact"/>
          <w:jc w:val="center"/>
        </w:trPr>
        <w:tc>
          <w:tcPr>
            <w:tcW w:w="3727" w:type="dxa"/>
            <w:vMerge w:val="continue"/>
            <w:shd w:val="clear" w:color="auto" w:fill="auto"/>
            <w:vAlign w:val="center"/>
          </w:tcPr>
          <w:p>
            <w:pPr>
              <w:adjustRightInd w:val="0"/>
              <w:snapToGrid w:val="0"/>
              <w:spacing w:line="260" w:lineRule="exact"/>
              <w:jc w:val="center"/>
              <w:rPr>
                <w:sz w:val="24"/>
              </w:rPr>
            </w:pPr>
          </w:p>
        </w:tc>
        <w:tc>
          <w:tcPr>
            <w:tcW w:w="4819" w:type="dxa"/>
            <w:shd w:val="clear" w:color="auto" w:fill="FFFFFF"/>
            <w:vAlign w:val="center"/>
          </w:tcPr>
          <w:p>
            <w:pPr>
              <w:adjustRightInd w:val="0"/>
              <w:snapToGrid w:val="0"/>
              <w:spacing w:line="260" w:lineRule="exact"/>
              <w:ind w:firstLine="240" w:firstLineChars="100"/>
              <w:jc w:val="left"/>
              <w:rPr>
                <w:sz w:val="24"/>
              </w:rPr>
            </w:pPr>
            <w:r>
              <w:rPr>
                <w:sz w:val="24"/>
              </w:rPr>
              <w:t>8.3服务对象评价*</w:t>
            </w:r>
          </w:p>
        </w:tc>
      </w:tr>
    </w:tbl>
    <w:p>
      <w:pPr>
        <w:adjustRightInd w:val="0"/>
        <w:snapToGrid w:val="0"/>
        <w:spacing w:before="156" w:beforeLines="50"/>
        <w:rPr>
          <w:sz w:val="24"/>
        </w:rPr>
        <w:sectPr>
          <w:headerReference r:id="rId3" w:type="default"/>
          <w:footerReference r:id="rId4" w:type="default"/>
          <w:footerReference r:id="rId5" w:type="even"/>
          <w:pgSz w:w="11906" w:h="16838"/>
          <w:pgMar w:top="2098" w:right="1531" w:bottom="1985" w:left="1531" w:header="851" w:footer="1134" w:gutter="0"/>
          <w:cols w:space="425" w:num="1"/>
          <w:docGrid w:type="lines" w:linePitch="312" w:charSpace="0"/>
        </w:sectPr>
      </w:pPr>
      <w:r>
        <w:rPr>
          <w:sz w:val="24"/>
        </w:rPr>
        <w:t>说明：主要评估指标8项，基本要素指标28项，重点要素指标16项（带*号）。</w:t>
      </w:r>
    </w:p>
    <w:p>
      <w:pPr>
        <w:widowControl/>
        <w:shd w:val="clear" w:color="auto" w:fill="FFFFFF"/>
        <w:adjustRightInd w:val="0"/>
        <w:snapToGrid w:val="0"/>
        <w:spacing w:before="156" w:beforeLines="50" w:after="156" w:afterLines="50" w:line="400" w:lineRule="exact"/>
        <w:jc w:val="center"/>
        <w:rPr>
          <w:b/>
          <w:kern w:val="0"/>
          <w:sz w:val="28"/>
          <w:szCs w:val="28"/>
        </w:rPr>
      </w:pPr>
      <w:r>
        <w:rPr>
          <w:rFonts w:eastAsia="黑体"/>
          <w:sz w:val="28"/>
          <w:szCs w:val="28"/>
        </w:rPr>
        <w:t>江苏省新建高等职业院校人才培养工作合格评估指标体系(2018年)</w:t>
      </w:r>
    </w:p>
    <w:p>
      <w:pPr>
        <w:adjustRightInd w:val="0"/>
        <w:snapToGrid w:val="0"/>
        <w:spacing w:line="20" w:lineRule="exact"/>
        <w:rPr>
          <w:sz w:val="24"/>
        </w:rPr>
      </w:pPr>
    </w:p>
    <w:p>
      <w:pPr>
        <w:adjustRightInd w:val="0"/>
        <w:snapToGrid w:val="0"/>
        <w:spacing w:line="20" w:lineRule="exact"/>
        <w:ind w:firstLine="454"/>
        <w:rPr>
          <w:sz w:val="24"/>
        </w:rPr>
      </w:pPr>
    </w:p>
    <w:p>
      <w:pPr>
        <w:adjustRightInd w:val="0"/>
        <w:snapToGrid w:val="0"/>
        <w:spacing w:line="20" w:lineRule="exact"/>
        <w:ind w:firstLine="454"/>
        <w:rPr>
          <w:sz w:val="24"/>
        </w:rPr>
      </w:pPr>
    </w:p>
    <w:p>
      <w:pPr>
        <w:adjustRightInd w:val="0"/>
        <w:snapToGrid w:val="0"/>
        <w:spacing w:line="20" w:lineRule="exact"/>
        <w:ind w:firstLine="454"/>
        <w:rPr>
          <w:sz w:val="24"/>
        </w:rPr>
      </w:pPr>
    </w:p>
    <w:tbl>
      <w:tblPr>
        <w:tblStyle w:val="6"/>
        <w:tblW w:w="12215" w:type="dxa"/>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10"/>
        <w:gridCol w:w="1905"/>
        <w:gridCol w:w="751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cantSplit/>
          <w:trHeight w:val="684" w:hRule="exact"/>
          <w:tblHeader/>
        </w:trPr>
        <w:tc>
          <w:tcPr>
            <w:tcW w:w="1110" w:type="dxa"/>
            <w:shd w:val="clear" w:color="auto" w:fill="FFFFFF"/>
            <w:tcMar>
              <w:top w:w="0" w:type="dxa"/>
              <w:left w:w="108" w:type="dxa"/>
              <w:bottom w:w="0" w:type="dxa"/>
              <w:right w:w="108" w:type="dxa"/>
            </w:tcMar>
            <w:vAlign w:val="center"/>
          </w:tcPr>
          <w:p>
            <w:pPr>
              <w:widowControl/>
              <w:spacing w:before="100" w:beforeAutospacing="1" w:after="100" w:afterAutospacing="1"/>
              <w:jc w:val="center"/>
              <w:rPr>
                <w:b/>
                <w:szCs w:val="21"/>
              </w:rPr>
            </w:pPr>
            <w:r>
              <w:rPr>
                <w:b/>
                <w:szCs w:val="21"/>
              </w:rPr>
              <w:t>指标</w:t>
            </w:r>
          </w:p>
        </w:tc>
        <w:tc>
          <w:tcPr>
            <w:tcW w:w="1905" w:type="dxa"/>
            <w:shd w:val="clear" w:color="auto" w:fill="FFFFFF"/>
            <w:tcMar>
              <w:top w:w="0" w:type="dxa"/>
              <w:left w:w="108" w:type="dxa"/>
              <w:bottom w:w="0" w:type="dxa"/>
              <w:right w:w="108" w:type="dxa"/>
            </w:tcMar>
            <w:vAlign w:val="center"/>
          </w:tcPr>
          <w:p>
            <w:pPr>
              <w:widowControl/>
              <w:spacing w:before="100" w:beforeAutospacing="1" w:after="100" w:afterAutospacing="1"/>
              <w:jc w:val="center"/>
              <w:rPr>
                <w:b/>
                <w:szCs w:val="21"/>
              </w:rPr>
            </w:pPr>
            <w:r>
              <w:rPr>
                <w:b/>
                <w:szCs w:val="21"/>
              </w:rPr>
              <w:t>基本要素</w:t>
            </w:r>
          </w:p>
        </w:tc>
        <w:tc>
          <w:tcPr>
            <w:tcW w:w="7515" w:type="dxa"/>
            <w:shd w:val="clear" w:color="auto" w:fill="FFFFFF"/>
            <w:tcMar>
              <w:top w:w="0" w:type="dxa"/>
              <w:left w:w="108" w:type="dxa"/>
              <w:bottom w:w="0" w:type="dxa"/>
              <w:right w:w="108" w:type="dxa"/>
            </w:tcMar>
            <w:vAlign w:val="center"/>
          </w:tcPr>
          <w:p>
            <w:pPr>
              <w:widowControl/>
              <w:spacing w:before="100" w:beforeAutospacing="1" w:after="100" w:afterAutospacing="1"/>
              <w:jc w:val="center"/>
              <w:rPr>
                <w:kern w:val="0"/>
                <w:sz w:val="24"/>
              </w:rPr>
            </w:pPr>
            <w:r>
              <w:rPr>
                <w:b/>
                <w:szCs w:val="21"/>
              </w:rPr>
              <w:t>内  涵</w:t>
            </w:r>
          </w:p>
        </w:tc>
        <w:tc>
          <w:tcPr>
            <w:tcW w:w="1685" w:type="dxa"/>
            <w:shd w:val="clear" w:color="auto" w:fill="FFFFFF"/>
            <w:tcMar>
              <w:top w:w="0" w:type="dxa"/>
              <w:left w:w="108" w:type="dxa"/>
              <w:bottom w:w="0" w:type="dxa"/>
              <w:right w:w="108" w:type="dxa"/>
            </w:tcMar>
            <w:vAlign w:val="center"/>
          </w:tcPr>
          <w:p>
            <w:pPr>
              <w:widowControl/>
              <w:jc w:val="center"/>
              <w:rPr>
                <w:b/>
                <w:bCs/>
                <w:kern w:val="0"/>
                <w:sz w:val="24"/>
              </w:rPr>
            </w:pPr>
            <w:r>
              <w:rPr>
                <w:b/>
                <w:szCs w:val="21"/>
              </w:rPr>
              <w:t>数据平台编号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27" w:hRule="exact"/>
        </w:trPr>
        <w:tc>
          <w:tcPr>
            <w:tcW w:w="1110" w:type="dxa"/>
            <w:vMerge w:val="restart"/>
            <w:shd w:val="clear" w:color="auto" w:fill="FFFFFF"/>
            <w:tcMar>
              <w:top w:w="0" w:type="dxa"/>
              <w:left w:w="108" w:type="dxa"/>
              <w:bottom w:w="0" w:type="dxa"/>
              <w:right w:w="108" w:type="dxa"/>
            </w:tcMar>
            <w:vAlign w:val="center"/>
          </w:tcPr>
          <w:p>
            <w:pPr>
              <w:widowControl/>
              <w:jc w:val="center"/>
              <w:rPr>
                <w:b/>
                <w:bCs/>
                <w:kern w:val="0"/>
                <w:sz w:val="24"/>
              </w:rPr>
            </w:pPr>
            <w:r>
              <w:rPr>
                <w:b/>
                <w:bCs/>
                <w:kern w:val="0"/>
                <w:sz w:val="24"/>
              </w:rPr>
              <w:t>1.</w:t>
            </w:r>
          </w:p>
          <w:p>
            <w:pPr>
              <w:widowControl/>
              <w:jc w:val="center"/>
              <w:rPr>
                <w:kern w:val="0"/>
                <w:sz w:val="24"/>
              </w:rPr>
            </w:pPr>
            <w:r>
              <w:rPr>
                <w:b/>
                <w:bCs/>
                <w:kern w:val="0"/>
                <w:sz w:val="24"/>
              </w:rPr>
              <w:t>办学    思路</w:t>
            </w:r>
          </w:p>
        </w:tc>
        <w:tc>
          <w:tcPr>
            <w:tcW w:w="1905" w:type="dxa"/>
            <w:shd w:val="clear" w:color="auto" w:fill="FFFFFF"/>
            <w:tcMar>
              <w:top w:w="0" w:type="dxa"/>
              <w:left w:w="108" w:type="dxa"/>
              <w:bottom w:w="0" w:type="dxa"/>
              <w:right w:w="108" w:type="dxa"/>
            </w:tcMar>
            <w:vAlign w:val="center"/>
          </w:tcPr>
          <w:p>
            <w:pPr>
              <w:spacing w:line="300" w:lineRule="exact"/>
              <w:rPr>
                <w:szCs w:val="21"/>
              </w:rPr>
            </w:pPr>
            <w:r>
              <w:rPr>
                <w:szCs w:val="21"/>
              </w:rPr>
              <w:t>1.1办学定位</w:t>
            </w:r>
          </w:p>
        </w:tc>
        <w:tc>
          <w:tcPr>
            <w:tcW w:w="7515" w:type="dxa"/>
            <w:shd w:val="clear" w:color="auto" w:fill="FFFFFF"/>
            <w:tcMar>
              <w:top w:w="0" w:type="dxa"/>
              <w:left w:w="108" w:type="dxa"/>
              <w:bottom w:w="0" w:type="dxa"/>
              <w:right w:w="108" w:type="dxa"/>
            </w:tcMar>
            <w:vAlign w:val="center"/>
          </w:tcPr>
          <w:p>
            <w:pPr>
              <w:widowControl/>
              <w:spacing w:before="100" w:beforeAutospacing="1" w:after="100" w:afterAutospacing="1"/>
              <w:rPr>
                <w:szCs w:val="21"/>
              </w:rPr>
            </w:pPr>
            <w:r>
              <w:rPr>
                <w:szCs w:val="21"/>
              </w:rPr>
              <w:t>办学目标、服务面向、发展战略、办学特色定位基于区域经济社会发展需求，基于省域高职教育发展现状，尊重高职教育发展基本规律，具有现实基础性和发展前瞻性。</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szCs w:val="21"/>
              </w:rPr>
              <w:t>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39"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widowControl/>
              <w:spacing w:before="100" w:beforeAutospacing="1" w:after="100" w:afterAutospacing="1"/>
              <w:rPr>
                <w:szCs w:val="21"/>
              </w:rPr>
            </w:pPr>
            <w:r>
              <w:rPr>
                <w:szCs w:val="21"/>
              </w:rPr>
              <w:t>1.2 内部治理</w:t>
            </w:r>
          </w:p>
        </w:tc>
        <w:tc>
          <w:tcPr>
            <w:tcW w:w="7515" w:type="dxa"/>
            <w:shd w:val="clear" w:color="auto" w:fill="FFFFFF"/>
            <w:tcMar>
              <w:top w:w="0" w:type="dxa"/>
              <w:left w:w="108" w:type="dxa"/>
              <w:bottom w:w="0" w:type="dxa"/>
              <w:right w:w="108" w:type="dxa"/>
            </w:tcMar>
            <w:vAlign w:val="center"/>
          </w:tcPr>
          <w:p>
            <w:pPr>
              <w:widowControl/>
              <w:spacing w:before="100" w:beforeAutospacing="1" w:after="100" w:afterAutospacing="1"/>
              <w:rPr>
                <w:szCs w:val="21"/>
              </w:rPr>
            </w:pPr>
            <w:r>
              <w:rPr>
                <w:szCs w:val="21"/>
              </w:rPr>
              <w:t>党委领导、院长负责、专家治学、民主管理、社会参与的内部治理结构及其相应的议事规则基本建立；二级系（学院）职责与权力明确，党政共同负责制落实；以《章程》统领的管理制度体系不断完善，依法依规治校的局面形成；校园文化和平安校园建设提上议事日程，教风、学风、行政作风建设措施扎实、效果良好。</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1.6/2.1/2.2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8"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widowControl/>
              <w:spacing w:before="100" w:beforeAutospacing="1" w:after="100" w:afterAutospacing="1"/>
              <w:rPr>
                <w:szCs w:val="21"/>
              </w:rPr>
            </w:pPr>
            <w:r>
              <w:rPr>
                <w:szCs w:val="21"/>
              </w:rPr>
              <w:t>1.3事业发展规划</w:t>
            </w:r>
          </w:p>
        </w:tc>
        <w:tc>
          <w:tcPr>
            <w:tcW w:w="7515" w:type="dxa"/>
            <w:shd w:val="clear" w:color="auto" w:fill="FFFFFF"/>
            <w:tcMar>
              <w:top w:w="0" w:type="dxa"/>
              <w:left w:w="108" w:type="dxa"/>
              <w:bottom w:w="0" w:type="dxa"/>
              <w:right w:w="108" w:type="dxa"/>
            </w:tcMar>
            <w:vAlign w:val="center"/>
          </w:tcPr>
          <w:p>
            <w:pPr>
              <w:widowControl/>
              <w:spacing w:before="100" w:beforeAutospacing="1" w:after="100" w:afterAutospacing="1"/>
              <w:rPr>
                <w:szCs w:val="21"/>
              </w:rPr>
            </w:pPr>
            <w:r>
              <w:rPr>
                <w:szCs w:val="21"/>
              </w:rPr>
              <w:t>学院事业发展规划体现办学定位，发展目标清晰，实现目标的措施扎实；年度工作计划对接发展规划，规划确立的目标稳步实现。</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69"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widowControl/>
              <w:spacing w:before="100" w:beforeAutospacing="1" w:after="100" w:afterAutospacing="1"/>
              <w:rPr>
                <w:szCs w:val="21"/>
              </w:rPr>
            </w:pPr>
            <w:r>
              <w:rPr>
                <w:szCs w:val="21"/>
              </w:rPr>
              <w:t>1.4 立德树人理念</w:t>
            </w:r>
          </w:p>
        </w:tc>
        <w:tc>
          <w:tcPr>
            <w:tcW w:w="7515" w:type="dxa"/>
            <w:shd w:val="clear" w:color="auto" w:fill="FFFFFF"/>
            <w:tcMar>
              <w:top w:w="0" w:type="dxa"/>
              <w:left w:w="108" w:type="dxa"/>
              <w:bottom w:w="0" w:type="dxa"/>
              <w:right w:w="108" w:type="dxa"/>
            </w:tcMar>
            <w:vAlign w:val="center"/>
          </w:tcPr>
          <w:p>
            <w:pPr>
              <w:widowControl/>
              <w:spacing w:before="100" w:beforeAutospacing="1" w:after="100" w:afterAutospacing="1"/>
              <w:rPr>
                <w:szCs w:val="21"/>
              </w:rPr>
            </w:pPr>
            <w:r>
              <w:rPr>
                <w:szCs w:val="21"/>
              </w:rPr>
              <w:t>人才培养在学校工作中的中心地位得到到确立，以立德树人为根本、以服务发展为宗旨、以促进就业为导向，产教融合、校企合作、工学结合、知行合一的人才培养思想得到贯彻；人才培养目标明确并内化为师生思想，培养高素质技术技能人才的思路清晰，措施扎实，成效良好。</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4.2/6.1.3/6.2.3/7.4/7.5/7.6.2/7.6.3 /9.5/9.6.2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47" w:hRule="atLeast"/>
        </w:trPr>
        <w:tc>
          <w:tcPr>
            <w:tcW w:w="1110" w:type="dxa"/>
            <w:vMerge w:val="restart"/>
            <w:shd w:val="clear" w:color="auto" w:fill="FFFFFF"/>
            <w:tcMar>
              <w:top w:w="0" w:type="dxa"/>
              <w:left w:w="108" w:type="dxa"/>
              <w:bottom w:w="0" w:type="dxa"/>
              <w:right w:w="108" w:type="dxa"/>
            </w:tcMar>
            <w:vAlign w:val="center"/>
          </w:tcPr>
          <w:p>
            <w:pPr>
              <w:widowControl/>
              <w:jc w:val="center"/>
              <w:rPr>
                <w:b/>
                <w:bCs/>
                <w:kern w:val="0"/>
                <w:sz w:val="24"/>
              </w:rPr>
            </w:pPr>
            <w:r>
              <w:rPr>
                <w:b/>
                <w:bCs/>
                <w:kern w:val="0"/>
                <w:sz w:val="24"/>
              </w:rPr>
              <w:t>2．</w:t>
            </w:r>
          </w:p>
          <w:p>
            <w:pPr>
              <w:widowControl/>
              <w:jc w:val="center"/>
              <w:rPr>
                <w:b/>
                <w:bCs/>
                <w:kern w:val="0"/>
                <w:sz w:val="24"/>
              </w:rPr>
            </w:pPr>
            <w:r>
              <w:rPr>
                <w:b/>
                <w:bCs/>
                <w:kern w:val="0"/>
                <w:sz w:val="24"/>
              </w:rPr>
              <w:t>师资</w:t>
            </w:r>
          </w:p>
          <w:p>
            <w:pPr>
              <w:widowControl/>
              <w:jc w:val="center"/>
              <w:rPr>
                <w:kern w:val="0"/>
                <w:sz w:val="24"/>
              </w:rPr>
            </w:pPr>
            <w:r>
              <w:rPr>
                <w:b/>
                <w:bCs/>
                <w:kern w:val="0"/>
                <w:sz w:val="24"/>
              </w:rPr>
              <w:t>队伍</w:t>
            </w:r>
          </w:p>
        </w:tc>
        <w:tc>
          <w:tcPr>
            <w:tcW w:w="1905" w:type="dxa"/>
            <w:shd w:val="clear" w:color="auto" w:fill="FFFFFF"/>
            <w:tcMar>
              <w:top w:w="0" w:type="dxa"/>
              <w:left w:w="108" w:type="dxa"/>
              <w:bottom w:w="0" w:type="dxa"/>
              <w:right w:w="108" w:type="dxa"/>
            </w:tcMar>
            <w:vAlign w:val="center"/>
          </w:tcPr>
          <w:p>
            <w:pPr>
              <w:spacing w:line="300" w:lineRule="exact"/>
              <w:rPr>
                <w:szCs w:val="21"/>
              </w:rPr>
            </w:pPr>
            <w:r>
              <w:rPr>
                <w:szCs w:val="21"/>
              </w:rPr>
              <w:t>2.1专任教师</w:t>
            </w:r>
          </w:p>
        </w:tc>
        <w:tc>
          <w:tcPr>
            <w:tcW w:w="7515" w:type="dxa"/>
            <w:shd w:val="clear" w:color="auto" w:fill="FFFFFF"/>
            <w:tcMar>
              <w:top w:w="0" w:type="dxa"/>
              <w:left w:w="108" w:type="dxa"/>
              <w:bottom w:w="0" w:type="dxa"/>
              <w:right w:w="108" w:type="dxa"/>
            </w:tcMar>
            <w:vAlign w:val="center"/>
          </w:tcPr>
          <w:p>
            <w:pPr>
              <w:adjustRightInd w:val="0"/>
              <w:snapToGrid w:val="0"/>
              <w:spacing w:line="300" w:lineRule="exact"/>
              <w:rPr>
                <w:kern w:val="0"/>
                <w:sz w:val="24"/>
              </w:rPr>
            </w:pPr>
            <w:r>
              <w:rPr>
                <w:szCs w:val="21"/>
              </w:rPr>
              <w:t>学生与专任教师（含双肩挑教师）之比≤18：1（医学院校为16:1）；</w:t>
            </w:r>
            <w:r>
              <w:rPr>
                <w:kern w:val="0"/>
                <w:szCs w:val="21"/>
              </w:rPr>
              <w:t>青年教师</w:t>
            </w:r>
            <w:r>
              <w:rPr>
                <w:szCs w:val="21"/>
                <w:vertAlign w:val="superscript"/>
              </w:rPr>
              <w:t>【1】</w:t>
            </w:r>
            <w:r>
              <w:rPr>
                <w:kern w:val="0"/>
                <w:szCs w:val="21"/>
              </w:rPr>
              <w:t>中具有研究生学历、硕士及以上学位教师占专任教师比例≥15%；高级职称教师占专任教师比例≥20%；专业课教师中双师素质教师</w:t>
            </w:r>
            <w:r>
              <w:rPr>
                <w:szCs w:val="21"/>
                <w:vertAlign w:val="superscript"/>
              </w:rPr>
              <w:t>【2】</w:t>
            </w:r>
            <w:r>
              <w:rPr>
                <w:kern w:val="0"/>
                <w:szCs w:val="21"/>
              </w:rPr>
              <w:t>比例≥50%；</w:t>
            </w:r>
            <w:r>
              <w:rPr>
                <w:szCs w:val="21"/>
              </w:rPr>
              <w:t>学生与专职辅导员之比逐渐接近200：1，班级统一配备兼职班主任；管理人员占全部教职员工之比≤20%。</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6.1/6.1.1/6.2/8.355总表8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1"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00" w:lineRule="exact"/>
              <w:rPr>
                <w:szCs w:val="21"/>
              </w:rPr>
            </w:pPr>
            <w:r>
              <w:rPr>
                <w:szCs w:val="21"/>
              </w:rPr>
              <w:t>2.2兼职教师</w:t>
            </w:r>
          </w:p>
        </w:tc>
        <w:tc>
          <w:tcPr>
            <w:tcW w:w="7515" w:type="dxa"/>
            <w:shd w:val="clear" w:color="auto" w:fill="FFFFFF"/>
            <w:tcMar>
              <w:top w:w="0" w:type="dxa"/>
              <w:left w:w="108" w:type="dxa"/>
              <w:bottom w:w="0" w:type="dxa"/>
              <w:right w:w="108" w:type="dxa"/>
            </w:tcMar>
            <w:vAlign w:val="center"/>
          </w:tcPr>
          <w:p>
            <w:pPr>
              <w:adjustRightInd w:val="0"/>
              <w:snapToGrid w:val="0"/>
              <w:spacing w:line="300" w:lineRule="exact"/>
              <w:rPr>
                <w:kern w:val="0"/>
                <w:szCs w:val="21"/>
              </w:rPr>
            </w:pPr>
            <w:r>
              <w:rPr>
                <w:kern w:val="0"/>
                <w:szCs w:val="21"/>
              </w:rPr>
              <w:t>兼职教师</w:t>
            </w:r>
            <w:r>
              <w:rPr>
                <w:szCs w:val="21"/>
                <w:vertAlign w:val="superscript"/>
              </w:rPr>
              <w:t>【3】</w:t>
            </w:r>
            <w:r>
              <w:rPr>
                <w:kern w:val="0"/>
                <w:szCs w:val="21"/>
              </w:rPr>
              <w:t>占专兼职教师总数比例在岗位设置方案中明示，兼职教师条件、职权利、培训考核等有制度规制；建立由行业企业技术专家、管理行家组成的兼职教师库；兼职教师承担专业课程教学（包括校内实践性教学、校外实习）达到专业课总学时的20%以上。</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6.3.1/6.3.2.1/</w:t>
            </w:r>
          </w:p>
          <w:p>
            <w:pPr>
              <w:widowControl/>
              <w:spacing w:before="100" w:beforeAutospacing="1" w:after="100" w:afterAutospacing="1" w:line="220" w:lineRule="exact"/>
              <w:jc w:val="center"/>
              <w:rPr>
                <w:kern w:val="0"/>
                <w:szCs w:val="21"/>
              </w:rPr>
            </w:pPr>
            <w:r>
              <w:rPr>
                <w:kern w:val="0"/>
                <w:szCs w:val="21"/>
              </w:rPr>
              <w:t>6.3.2.2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14"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00" w:lineRule="exact"/>
              <w:rPr>
                <w:szCs w:val="21"/>
              </w:rPr>
            </w:pPr>
            <w:r>
              <w:rPr>
                <w:szCs w:val="21"/>
              </w:rPr>
              <w:t>2.3教师培养与发展</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师资队伍建设注重规划，目标明确、措施扎实；教师教育和培训有计划、有步骤、有实效；建立专业带头人、骨干教师培养制度，促进教师的成长和发展；建立新教师上岗培训制度，培训时间不少于120学时；建立专业课教师赴企业实践制度，每五年累计不少于6个月。</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6.1.3/6.2.3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65" w:hRule="atLeast"/>
        </w:trPr>
        <w:tc>
          <w:tcPr>
            <w:tcW w:w="1110" w:type="dxa"/>
            <w:vMerge w:val="restart"/>
            <w:shd w:val="clear" w:color="auto" w:fill="FFFFFF"/>
            <w:tcMar>
              <w:top w:w="0" w:type="dxa"/>
              <w:left w:w="108" w:type="dxa"/>
              <w:bottom w:w="0" w:type="dxa"/>
              <w:right w:w="108" w:type="dxa"/>
            </w:tcMar>
            <w:vAlign w:val="center"/>
          </w:tcPr>
          <w:p>
            <w:pPr>
              <w:widowControl/>
              <w:jc w:val="center"/>
              <w:rPr>
                <w:b/>
                <w:bCs/>
                <w:kern w:val="0"/>
                <w:sz w:val="24"/>
              </w:rPr>
            </w:pPr>
            <w:r>
              <w:rPr>
                <w:b/>
                <w:bCs/>
                <w:kern w:val="0"/>
                <w:sz w:val="24"/>
              </w:rPr>
              <w:t>3.</w:t>
            </w:r>
          </w:p>
          <w:p>
            <w:pPr>
              <w:widowControl/>
              <w:jc w:val="center"/>
              <w:rPr>
                <w:b/>
                <w:bCs/>
                <w:kern w:val="0"/>
                <w:sz w:val="24"/>
              </w:rPr>
            </w:pPr>
            <w:r>
              <w:rPr>
                <w:b/>
                <w:bCs/>
                <w:kern w:val="0"/>
                <w:sz w:val="24"/>
              </w:rPr>
              <w:t>教学</w:t>
            </w:r>
          </w:p>
          <w:p>
            <w:pPr>
              <w:adjustRightInd w:val="0"/>
              <w:snapToGrid w:val="0"/>
              <w:ind w:firstLine="241" w:firstLineChars="100"/>
              <w:rPr>
                <w:b/>
                <w:bCs/>
                <w:kern w:val="0"/>
                <w:sz w:val="24"/>
              </w:rPr>
            </w:pPr>
            <w:r>
              <w:rPr>
                <w:b/>
                <w:bCs/>
                <w:kern w:val="0"/>
                <w:sz w:val="24"/>
              </w:rPr>
              <w:t>条件</w:t>
            </w: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3.1校内实训条件建设</w:t>
            </w:r>
          </w:p>
        </w:tc>
        <w:tc>
          <w:tcPr>
            <w:tcW w:w="7515" w:type="dxa"/>
            <w:shd w:val="clear" w:color="auto" w:fill="FFFFFF"/>
            <w:tcMar>
              <w:top w:w="0" w:type="dxa"/>
              <w:left w:w="108" w:type="dxa"/>
              <w:bottom w:w="0" w:type="dxa"/>
              <w:right w:w="108" w:type="dxa"/>
            </w:tcMar>
            <w:vAlign w:val="center"/>
          </w:tcPr>
          <w:p>
            <w:pPr>
              <w:adjustRightInd w:val="0"/>
              <w:snapToGrid w:val="0"/>
              <w:spacing w:line="320" w:lineRule="exact"/>
              <w:ind w:firstLine="454"/>
              <w:rPr>
                <w:kern w:val="0"/>
                <w:szCs w:val="21"/>
              </w:rPr>
            </w:pPr>
            <w:r>
              <w:rPr>
                <w:kern w:val="0"/>
                <w:szCs w:val="21"/>
              </w:rPr>
              <w:t>实训场地、设施、设备和环境符合课程标准的相关要求，渗透企业文化、具有职场氛围；实训中心管理人员充分、管理制度健全；生均教学仪器设备值理工农医类≥4000元，文史财经管类≥3000元。</w:t>
            </w:r>
          </w:p>
        </w:tc>
        <w:tc>
          <w:tcPr>
            <w:tcW w:w="1685" w:type="dxa"/>
            <w:shd w:val="clear" w:color="auto" w:fill="FFFFFF"/>
            <w:tcMar>
              <w:top w:w="0" w:type="dxa"/>
              <w:left w:w="108" w:type="dxa"/>
              <w:bottom w:w="0" w:type="dxa"/>
              <w:right w:w="108" w:type="dxa"/>
            </w:tcMar>
            <w:vAlign w:val="center"/>
          </w:tcPr>
          <w:p>
            <w:pPr>
              <w:widowControl/>
              <w:spacing w:line="220" w:lineRule="exact"/>
              <w:jc w:val="center"/>
              <w:rPr>
                <w:kern w:val="0"/>
                <w:szCs w:val="21"/>
              </w:rPr>
            </w:pPr>
            <w:r>
              <w:rPr>
                <w:kern w:val="0"/>
                <w:szCs w:val="21"/>
              </w:rPr>
              <w:t>4.1</w:t>
            </w:r>
          </w:p>
          <w:p>
            <w:pPr>
              <w:adjustRightInd w:val="0"/>
              <w:snapToGrid w:val="0"/>
              <w:spacing w:line="220" w:lineRule="exact"/>
              <w:ind w:firstLine="454"/>
              <w:jc w:val="center"/>
              <w:rPr>
                <w:kern w:val="0"/>
                <w:szCs w:val="21"/>
              </w:rPr>
            </w:pPr>
            <w:r>
              <w:rPr>
                <w:kern w:val="0"/>
                <w:szCs w:val="21"/>
              </w:rPr>
              <w:t>案例基本办学条件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10"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3.2校外实习条件建设</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实习基地设置符合实习教学计划要求，大部分基地管理规范、设备设施先进、效益良好；合作3年以上的基地超过总数的50%；实习教学管理制度严密、具有操作性；实习指导教师、学生管理教师责权利明确。</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4.2/7.5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3"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3.3经费保障</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日常教学支出</w:t>
            </w:r>
            <w:r>
              <w:rPr>
                <w:szCs w:val="21"/>
                <w:vertAlign w:val="superscript"/>
              </w:rPr>
              <w:t>【4】</w:t>
            </w:r>
            <w:r>
              <w:rPr>
                <w:kern w:val="0"/>
                <w:szCs w:val="21"/>
              </w:rPr>
              <w:t xml:space="preserve"> 占经费总支出比例≥12%，民办院校年生均日常教学运行支出≥1000元。</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5.1/5.2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09" w:hRule="exact"/>
        </w:trPr>
        <w:tc>
          <w:tcPr>
            <w:tcW w:w="1110" w:type="dxa"/>
            <w:vMerge w:val="restart"/>
            <w:shd w:val="clear" w:color="auto" w:fill="FFFFFF"/>
            <w:tcMar>
              <w:top w:w="0" w:type="dxa"/>
              <w:left w:w="108" w:type="dxa"/>
              <w:bottom w:w="0" w:type="dxa"/>
              <w:right w:w="108" w:type="dxa"/>
            </w:tcMar>
            <w:vAlign w:val="center"/>
          </w:tcPr>
          <w:p>
            <w:pPr>
              <w:widowControl/>
              <w:jc w:val="center"/>
              <w:rPr>
                <w:b/>
                <w:bCs/>
                <w:kern w:val="0"/>
                <w:sz w:val="24"/>
              </w:rPr>
            </w:pPr>
            <w:r>
              <w:rPr>
                <w:b/>
                <w:bCs/>
                <w:kern w:val="0"/>
                <w:sz w:val="24"/>
              </w:rPr>
              <w:t>4.</w:t>
            </w:r>
          </w:p>
          <w:p>
            <w:pPr>
              <w:widowControl/>
              <w:jc w:val="center"/>
              <w:rPr>
                <w:b/>
                <w:bCs/>
                <w:kern w:val="0"/>
                <w:sz w:val="24"/>
              </w:rPr>
            </w:pPr>
            <w:r>
              <w:rPr>
                <w:b/>
                <w:bCs/>
                <w:kern w:val="0"/>
                <w:sz w:val="24"/>
              </w:rPr>
              <w:t>专业</w:t>
            </w:r>
          </w:p>
          <w:p>
            <w:pPr>
              <w:widowControl/>
              <w:jc w:val="center"/>
              <w:rPr>
                <w:b/>
                <w:bCs/>
                <w:kern w:val="0"/>
                <w:sz w:val="24"/>
              </w:rPr>
            </w:pPr>
            <w:r>
              <w:rPr>
                <w:b/>
                <w:bCs/>
                <w:kern w:val="0"/>
                <w:sz w:val="24"/>
              </w:rPr>
              <w:t>建设</w:t>
            </w: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4.1校企合作体制机制建设</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建立学校高级职称教师、行业企业技术专家等人员组成的专业建设指导委员会及其工作制度；不断深化合作调整专业、开发课程、教学改革、科研攻关、培养教师、建设基地、培训企业员工等工作。</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71" w:hRule="atLeast"/>
        </w:trPr>
        <w:tc>
          <w:tcPr>
            <w:tcW w:w="1110" w:type="dxa"/>
            <w:vMerge w:val="continue"/>
            <w:shd w:val="clear" w:color="auto" w:fill="FFFFFF"/>
            <w:tcMar>
              <w:top w:w="0" w:type="dxa"/>
              <w:left w:w="108" w:type="dxa"/>
              <w:bottom w:w="0" w:type="dxa"/>
              <w:right w:w="108" w:type="dxa"/>
            </w:tcMar>
            <w:vAlign w:val="center"/>
          </w:tcPr>
          <w:p>
            <w:pPr>
              <w:widowControl/>
              <w:spacing w:before="100" w:beforeAutospacing="1" w:after="100" w:afterAutospacing="1"/>
              <w:jc w:val="center"/>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4.2专业设置（调整）</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建立专业剖析制度，定期分析专业适应区域产业发展和促进学生发展状况；分析专业教学团队、实践条件、课程资源、毕业生就业质量等情况，确立专业（群）发展的阶段目标、思路和策略。</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rPr>
                <w:kern w:val="0"/>
                <w:szCs w:val="21"/>
              </w:rPr>
            </w:pPr>
            <w:r>
              <w:rPr>
                <w:kern w:val="0"/>
                <w:szCs w:val="21"/>
              </w:rPr>
              <w:t>7.1.1/7.1.2/7.1.3/7.6.2/7.6.3(案例分析3)11.1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56" w:hRule="atLeast"/>
        </w:trPr>
        <w:tc>
          <w:tcPr>
            <w:tcW w:w="1110" w:type="dxa"/>
            <w:vMerge w:val="continue"/>
            <w:shd w:val="clear" w:color="auto" w:fill="FFFFFF"/>
            <w:tcMar>
              <w:top w:w="0" w:type="dxa"/>
              <w:left w:w="108" w:type="dxa"/>
              <w:bottom w:w="0" w:type="dxa"/>
              <w:right w:w="108" w:type="dxa"/>
            </w:tcMar>
            <w:vAlign w:val="center"/>
          </w:tcPr>
          <w:p>
            <w:pPr>
              <w:widowControl/>
              <w:spacing w:before="100" w:beforeAutospacing="1" w:after="100" w:afterAutospacing="1"/>
              <w:jc w:val="cente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4.3人才培养模式与方案</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基于行业企业调查厘清学生的就业和发展岗位，明确相应的能力需求，结合学生全面发展要求确定人才规格；围绕人才规格创新人才培养模式、建立课程体系，形成彰显职业性和高等性的人才培养方案。</w:t>
            </w:r>
          </w:p>
        </w:tc>
        <w:tc>
          <w:tcPr>
            <w:tcW w:w="1685" w:type="dxa"/>
            <w:shd w:val="clear" w:color="auto" w:fill="FFFFFF"/>
            <w:tcMar>
              <w:top w:w="0" w:type="dxa"/>
              <w:left w:w="108" w:type="dxa"/>
              <w:bottom w:w="0" w:type="dxa"/>
              <w:right w:w="108" w:type="dxa"/>
            </w:tcMar>
            <w:vAlign w:val="center"/>
          </w:tcPr>
          <w:p>
            <w:pPr>
              <w:widowControl/>
              <w:spacing w:line="220" w:lineRule="exact"/>
              <w:jc w:val="center"/>
              <w:rPr>
                <w:kern w:val="0"/>
                <w:szCs w:val="21"/>
              </w:rPr>
            </w:pPr>
            <w:r>
              <w:rPr>
                <w:kern w:val="0"/>
                <w:szCs w:val="21"/>
              </w:rPr>
              <w:t>7.2</w:t>
            </w:r>
          </w:p>
          <w:p>
            <w:pPr>
              <w:widowControl/>
              <w:spacing w:line="220" w:lineRule="exact"/>
              <w:jc w:val="center"/>
              <w:rPr>
                <w:kern w:val="0"/>
                <w:szCs w:val="21"/>
              </w:rPr>
            </w:pPr>
            <w:r>
              <w:rPr>
                <w:kern w:val="0"/>
                <w:szCs w:val="21"/>
              </w:rPr>
              <w:t>7.3.1/7.3.2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45"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4.4课程建设</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制度化开展课程标准的开发和论证，课程功能、目标、形式、内容的定位和选择精准；注重课程标准与行业职业标准、职业资格标准对接；优先选配规划教材，积极开发课程教学资源。</w:t>
            </w:r>
          </w:p>
        </w:tc>
        <w:tc>
          <w:tcPr>
            <w:tcW w:w="1685" w:type="dxa"/>
            <w:shd w:val="clear" w:color="auto" w:fill="FFFFFF"/>
            <w:tcMar>
              <w:top w:w="0" w:type="dxa"/>
              <w:left w:w="108" w:type="dxa"/>
              <w:bottom w:w="0" w:type="dxa"/>
              <w:right w:w="108" w:type="dxa"/>
            </w:tcMar>
            <w:vAlign w:val="center"/>
          </w:tcPr>
          <w:p>
            <w:pPr>
              <w:widowControl/>
              <w:spacing w:line="220" w:lineRule="exact"/>
              <w:jc w:val="center"/>
              <w:rPr>
                <w:kern w:val="0"/>
                <w:szCs w:val="21"/>
              </w:rPr>
            </w:pPr>
            <w:r>
              <w:rPr>
                <w:kern w:val="0"/>
                <w:szCs w:val="21"/>
              </w:rPr>
              <w:t>7.2/7.3.1/</w:t>
            </w:r>
          </w:p>
          <w:p>
            <w:pPr>
              <w:widowControl/>
              <w:spacing w:line="220" w:lineRule="exact"/>
              <w:jc w:val="center"/>
              <w:rPr>
                <w:kern w:val="0"/>
                <w:szCs w:val="21"/>
              </w:rPr>
            </w:pPr>
            <w:r>
              <w:rPr>
                <w:kern w:val="0"/>
                <w:szCs w:val="21"/>
              </w:rPr>
              <w:t>7.3.2/3.4.1</w:t>
            </w:r>
          </w:p>
          <w:p>
            <w:pPr>
              <w:widowControl/>
              <w:spacing w:line="220" w:lineRule="exact"/>
              <w:jc w:val="center"/>
              <w:rPr>
                <w:kern w:val="0"/>
                <w:szCs w:val="21"/>
              </w:rPr>
            </w:pPr>
            <w:r>
              <w:rPr>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46"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4.5教学方法与手段</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重视教学内容的两次开发，注重将现代专业技术引入课堂；采用突出学生主体地位，有助于学生能力发展，有利于教学目标实现的教学方法，注重信息化教学手段的应用；素质教育与专业教学协同，教书与育人结合；重视作业批改、课后辅导、日常教学效果诊断与改进；选用有效检验教学目标达成的考查考试方式。</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51"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4.6实践教学</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校内实训、校外实习教学计划齐全，实践教学目标明确、内容充实，切合人才培养方案的设计；实践管理制度得到严格执行，实践教学效果秩序良好；强化技能积累及考核，积极组织学生获取技能等级证书或职业资格证书。</w:t>
            </w:r>
          </w:p>
          <w:p>
            <w:pPr>
              <w:spacing w:line="320" w:lineRule="exact"/>
              <w:rPr>
                <w:kern w:val="0"/>
                <w:szCs w:val="21"/>
              </w:rPr>
            </w:pP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4.2/7.4/7.5/7.3.1/7.3.2/8.1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2" w:hRule="exact"/>
        </w:trPr>
        <w:tc>
          <w:tcPr>
            <w:tcW w:w="1110" w:type="dxa"/>
            <w:vMerge w:val="restart"/>
            <w:shd w:val="clear" w:color="auto" w:fill="FFFFFF"/>
            <w:tcMar>
              <w:top w:w="0" w:type="dxa"/>
              <w:left w:w="108" w:type="dxa"/>
              <w:bottom w:w="0" w:type="dxa"/>
              <w:right w:w="108" w:type="dxa"/>
            </w:tcMar>
            <w:vAlign w:val="center"/>
          </w:tcPr>
          <w:p>
            <w:pPr>
              <w:widowControl/>
              <w:jc w:val="center"/>
              <w:rPr>
                <w:b/>
                <w:bCs/>
                <w:kern w:val="0"/>
                <w:sz w:val="24"/>
              </w:rPr>
            </w:pPr>
            <w:r>
              <w:rPr>
                <w:b/>
                <w:bCs/>
                <w:kern w:val="0"/>
                <w:sz w:val="24"/>
              </w:rPr>
              <w:t>5．</w:t>
            </w:r>
          </w:p>
          <w:p>
            <w:pPr>
              <w:widowControl/>
              <w:jc w:val="center"/>
              <w:rPr>
                <w:kern w:val="0"/>
                <w:sz w:val="24"/>
              </w:rPr>
            </w:pPr>
            <w:r>
              <w:rPr>
                <w:b/>
                <w:bCs/>
                <w:kern w:val="0"/>
                <w:sz w:val="24"/>
              </w:rPr>
              <w:t>学生教育管理与服务</w:t>
            </w: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5.1学生教育</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重视大学生思想政治教育工作，系统谋划、统筹安排，形成素质教育的理念和内容系统，发展学生的思想道德、科学人文、身体心理、创新创业等素质；讲究方法、注重实效，有计划、有步骤实施素质教育，促进学生全面、个性和自主发展。</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9.6.1/9.6.3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19"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5.2学生管理</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健全学籍管理制度，规范学籍管理过程；制度化推进班集体、文明宿舍和社团建设，发挥学生自我管理、服务、教育和监督作用；强化思想、学习和心理困难学生的教育管理，努力</w:t>
            </w:r>
            <w:bookmarkStart w:id="31" w:name="_GoBack"/>
            <w:bookmarkEnd w:id="31"/>
            <w:r>
              <w:rPr>
                <w:kern w:val="0"/>
                <w:szCs w:val="21"/>
              </w:rPr>
              <w:t>实现每个学生的充分发展。</w:t>
            </w:r>
          </w:p>
        </w:tc>
        <w:tc>
          <w:tcPr>
            <w:tcW w:w="1685" w:type="dxa"/>
            <w:shd w:val="clear" w:color="auto" w:fill="FFFFFF"/>
            <w:tcMar>
              <w:top w:w="0" w:type="dxa"/>
              <w:left w:w="108" w:type="dxa"/>
              <w:bottom w:w="0" w:type="dxa"/>
              <w:right w:w="108" w:type="dxa"/>
            </w:tcMar>
            <w:vAlign w:val="center"/>
          </w:tcPr>
          <w:p>
            <w:pPr>
              <w:widowControl/>
              <w:spacing w:line="220" w:lineRule="exact"/>
              <w:jc w:val="center"/>
              <w:rPr>
                <w:kern w:val="0"/>
                <w:szCs w:val="21"/>
              </w:rPr>
            </w:pPr>
            <w:r>
              <w:rPr>
                <w:kern w:val="0"/>
                <w:szCs w:val="21"/>
              </w:rPr>
              <w:t>8.1/10.3/</w:t>
            </w:r>
          </w:p>
          <w:p>
            <w:pPr>
              <w:widowControl/>
              <w:spacing w:line="220" w:lineRule="exact"/>
              <w:jc w:val="center"/>
              <w:rPr>
                <w:kern w:val="0"/>
                <w:szCs w:val="21"/>
              </w:rPr>
            </w:pPr>
            <w:r>
              <w:rPr>
                <w:kern w:val="0"/>
                <w:szCs w:val="21"/>
              </w:rPr>
              <w:t>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54"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5.3学生服务</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建立奖勤助贷服务体系，保障学生学业顺利完成；建立工作机构、搭建实践平台，强化就业创业服务；建立“一站式”学生服务中心，提供快捷便利服务；成立学生申诉处理委员会，维护和保障学生权益。</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8.8/8.4 （案例分析4）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76" w:hRule="exact"/>
        </w:trPr>
        <w:tc>
          <w:tcPr>
            <w:tcW w:w="1110" w:type="dxa"/>
            <w:vMerge w:val="restart"/>
            <w:shd w:val="clear" w:color="auto" w:fill="FFFFFF"/>
            <w:tcMar>
              <w:top w:w="0" w:type="dxa"/>
              <w:left w:w="108" w:type="dxa"/>
              <w:bottom w:w="0" w:type="dxa"/>
              <w:right w:w="108" w:type="dxa"/>
            </w:tcMar>
            <w:vAlign w:val="center"/>
          </w:tcPr>
          <w:p>
            <w:pPr>
              <w:widowControl/>
              <w:jc w:val="center"/>
              <w:rPr>
                <w:b/>
                <w:bCs/>
                <w:kern w:val="0"/>
                <w:sz w:val="24"/>
              </w:rPr>
            </w:pPr>
            <w:r>
              <w:rPr>
                <w:b/>
                <w:bCs/>
                <w:kern w:val="0"/>
                <w:sz w:val="24"/>
              </w:rPr>
              <w:t>6.</w:t>
            </w:r>
          </w:p>
          <w:p>
            <w:pPr>
              <w:widowControl/>
              <w:jc w:val="center"/>
              <w:rPr>
                <w:kern w:val="0"/>
                <w:sz w:val="24"/>
              </w:rPr>
            </w:pPr>
            <w:r>
              <w:rPr>
                <w:b/>
                <w:bCs/>
                <w:kern w:val="0"/>
                <w:sz w:val="24"/>
              </w:rPr>
              <w:t>科技研究与服务社会</w:t>
            </w: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6.1科技研究</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强化能力培养、健全管理制度、加大经费投入、营造科研氛围，调动教职员工投身科研积极性；纵向、横向课题（项目）立项数、到帐经费数、申请专利数不断增长。</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6.1.3/6.2.3/8.1/8.6、9.5江苏省网络系统（新增表）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64"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6.2社会服务</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不断拓展服务社会的渠道，开展形式多样的成人学历教育、技能培训、技能鉴定，继续教育收入逐年递增；组织开展技术咨询活动，帮助企事业单位解决问题。</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1.5/4.3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43" w:hRule="exact"/>
        </w:trPr>
        <w:tc>
          <w:tcPr>
            <w:tcW w:w="1110" w:type="dxa"/>
            <w:vMerge w:val="restart"/>
            <w:shd w:val="clear" w:color="auto" w:fill="FFFFFF"/>
            <w:tcMar>
              <w:top w:w="0" w:type="dxa"/>
              <w:left w:w="108" w:type="dxa"/>
              <w:bottom w:w="0" w:type="dxa"/>
              <w:right w:w="108" w:type="dxa"/>
            </w:tcMar>
            <w:vAlign w:val="center"/>
          </w:tcPr>
          <w:p>
            <w:pPr>
              <w:widowControl/>
              <w:jc w:val="center"/>
              <w:rPr>
                <w:b/>
                <w:bCs/>
                <w:kern w:val="0"/>
                <w:sz w:val="24"/>
              </w:rPr>
            </w:pPr>
            <w:r>
              <w:rPr>
                <w:b/>
                <w:bCs/>
                <w:kern w:val="0"/>
                <w:sz w:val="24"/>
              </w:rPr>
              <w:t>7.</w:t>
            </w:r>
          </w:p>
          <w:p>
            <w:pPr>
              <w:widowControl/>
              <w:jc w:val="center"/>
              <w:rPr>
                <w:kern w:val="0"/>
                <w:sz w:val="24"/>
              </w:rPr>
            </w:pPr>
            <w:r>
              <w:rPr>
                <w:b/>
                <w:bCs/>
                <w:kern w:val="0"/>
                <w:sz w:val="24"/>
              </w:rPr>
              <w:t>质量  保证</w:t>
            </w: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7.1质量管理体制建设</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建立质量管理决策、执行和监督机构，明确职权、理顺关系、完善机制，规范质量管理；落实质量保证主体责任，稳步推进全员全程全方位质量保证体系建设。</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8.5/8.9/1.6/8.1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03" w:hRule="atLeas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7.2质量标准体系建设</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 xml:space="preserve">初步建立覆盖人才培养工作全方位、贯穿人才培养工作全过程的质量标准体系，过程标准明确，人才培养工作有章可循；绩效标准明确，人才培养工作有的放矢。 </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95" w:hRule="atLeast"/>
        </w:trPr>
        <w:tc>
          <w:tcPr>
            <w:tcW w:w="1110" w:type="dxa"/>
            <w:vMerge w:val="continue"/>
            <w:shd w:val="clear" w:color="auto" w:fill="FFFFFF"/>
            <w:vAlign w:val="center"/>
          </w:tcPr>
          <w:p>
            <w:pPr>
              <w:widowControl/>
              <w:spacing w:before="100" w:beforeAutospacing="1" w:after="100" w:afterAutospacing="1"/>
              <w:jc w:val="cente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7.3质量诊断与改进体系建设</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初步建立常态化人才培养质量诊断与改进机制，诊断与改进的内容清晰、主体明确、方法与程序合理、结论应用切实可行，及时发现和改进标准执行中的问题，挖掘和推广标准执行中的经验。</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8.1/8.7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85"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7.4建立质量报告制度</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智能校园建设有计划、有措施、有成效，质量管理、课程教学、学生教育管理服务的智能化水平不断提高；加强人才培养状态数据采集、分析与改进，发挥数据平台在质量监控中的作用；不断完善年度质量报告制度，提高年度质量报告的质量和水平。</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4" w:hRule="exact"/>
        </w:trPr>
        <w:tc>
          <w:tcPr>
            <w:tcW w:w="1110" w:type="dxa"/>
            <w:vMerge w:val="restart"/>
            <w:shd w:val="clear" w:color="auto" w:fill="FFFFFF"/>
            <w:vAlign w:val="center"/>
          </w:tcPr>
          <w:p>
            <w:pPr>
              <w:widowControl/>
              <w:jc w:val="center"/>
              <w:rPr>
                <w:b/>
                <w:bCs/>
                <w:kern w:val="0"/>
                <w:sz w:val="24"/>
              </w:rPr>
            </w:pPr>
            <w:r>
              <w:rPr>
                <w:b/>
                <w:bCs/>
                <w:kern w:val="0"/>
                <w:sz w:val="24"/>
              </w:rPr>
              <w:t>8.</w:t>
            </w:r>
          </w:p>
          <w:p>
            <w:pPr>
              <w:widowControl/>
              <w:jc w:val="center"/>
              <w:rPr>
                <w:b/>
                <w:bCs/>
                <w:kern w:val="0"/>
                <w:sz w:val="24"/>
              </w:rPr>
            </w:pPr>
            <w:r>
              <w:rPr>
                <w:b/>
                <w:bCs/>
                <w:kern w:val="0"/>
                <w:sz w:val="24"/>
              </w:rPr>
              <w:t>社会</w:t>
            </w:r>
          </w:p>
          <w:p>
            <w:pPr>
              <w:widowControl/>
              <w:jc w:val="center"/>
              <w:rPr>
                <w:kern w:val="0"/>
                <w:sz w:val="24"/>
              </w:rPr>
            </w:pPr>
            <w:r>
              <w:rPr>
                <w:b/>
                <w:bCs/>
                <w:kern w:val="0"/>
                <w:sz w:val="24"/>
              </w:rPr>
              <w:t>认同</w:t>
            </w: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8.1招生</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三年制招生计划完成率≥50%；报到率≥85%。</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1.3/1.4/1.5/7.6.1/9.1</w:t>
            </w:r>
          </w:p>
          <w:p>
            <w:pPr>
              <w:widowControl/>
              <w:spacing w:before="100" w:beforeAutospacing="1" w:after="100" w:afterAutospacing="1" w:line="22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11"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8.2就业</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三年制毕业生初次就业率达到85%，年终就业率达到95%，专业对口率达到省内同类专业平均水平。</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7.6.3/7.6.2/9.2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60" w:hRule="exact"/>
        </w:trPr>
        <w:tc>
          <w:tcPr>
            <w:tcW w:w="1110" w:type="dxa"/>
            <w:vMerge w:val="continue"/>
            <w:shd w:val="clear" w:color="auto" w:fill="FFFFFF"/>
            <w:vAlign w:val="center"/>
          </w:tcPr>
          <w:p>
            <w:pPr>
              <w:widowControl/>
              <w:jc w:val="left"/>
              <w:rPr>
                <w:kern w:val="0"/>
                <w:sz w:val="24"/>
              </w:rPr>
            </w:pPr>
          </w:p>
        </w:tc>
        <w:tc>
          <w:tcPr>
            <w:tcW w:w="190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8.3服务对象评价</w:t>
            </w:r>
          </w:p>
        </w:tc>
        <w:tc>
          <w:tcPr>
            <w:tcW w:w="7515" w:type="dxa"/>
            <w:shd w:val="clear" w:color="auto" w:fill="FFFFFF"/>
            <w:tcMar>
              <w:top w:w="0" w:type="dxa"/>
              <w:left w:w="108" w:type="dxa"/>
              <w:bottom w:w="0" w:type="dxa"/>
              <w:right w:w="108" w:type="dxa"/>
            </w:tcMar>
            <w:vAlign w:val="center"/>
          </w:tcPr>
          <w:p>
            <w:pPr>
              <w:spacing w:line="320" w:lineRule="exact"/>
              <w:rPr>
                <w:kern w:val="0"/>
                <w:szCs w:val="21"/>
              </w:rPr>
            </w:pPr>
            <w:r>
              <w:rPr>
                <w:kern w:val="0"/>
                <w:szCs w:val="21"/>
              </w:rPr>
              <w:t>在校生对人才培养工作“满意度”达到80%以上，毕业生对母校“满意度”达到80%以上，用人单位对学生“满意度”达到80%以上。</w:t>
            </w:r>
            <w:r>
              <w:rPr>
                <w:szCs w:val="21"/>
                <w:vertAlign w:val="superscript"/>
              </w:rPr>
              <w:t>【5】</w:t>
            </w:r>
          </w:p>
        </w:tc>
        <w:tc>
          <w:tcPr>
            <w:tcW w:w="1685" w:type="dxa"/>
            <w:shd w:val="clear" w:color="auto" w:fill="FFFFFF"/>
            <w:tcMar>
              <w:top w:w="0" w:type="dxa"/>
              <w:left w:w="108" w:type="dxa"/>
              <w:bottom w:w="0" w:type="dxa"/>
              <w:right w:w="108" w:type="dxa"/>
            </w:tcMar>
            <w:vAlign w:val="center"/>
          </w:tcPr>
          <w:p>
            <w:pPr>
              <w:widowControl/>
              <w:spacing w:before="100" w:beforeAutospacing="1" w:after="100" w:afterAutospacing="1" w:line="220" w:lineRule="exact"/>
              <w:jc w:val="center"/>
              <w:rPr>
                <w:kern w:val="0"/>
                <w:szCs w:val="21"/>
              </w:rPr>
            </w:pPr>
            <w:r>
              <w:rPr>
                <w:kern w:val="0"/>
                <w:szCs w:val="21"/>
              </w:rPr>
              <w:t>7.6.3/9.4</w:t>
            </w:r>
          </w:p>
        </w:tc>
      </w:tr>
    </w:tbl>
    <w:p>
      <w:pPr>
        <w:adjustRightInd w:val="0"/>
        <w:snapToGrid w:val="0"/>
        <w:spacing w:before="120" w:line="400" w:lineRule="exact"/>
        <w:ind w:firstLine="560" w:firstLineChars="200"/>
        <w:rPr>
          <w:rFonts w:eastAsia="黑体"/>
          <w:sz w:val="28"/>
          <w:szCs w:val="28"/>
        </w:rPr>
      </w:pPr>
      <w:r>
        <w:rPr>
          <w:rFonts w:eastAsia="黑体"/>
          <w:sz w:val="28"/>
          <w:szCs w:val="28"/>
        </w:rPr>
        <w:t>备注：</w:t>
      </w:r>
    </w:p>
    <w:p>
      <w:pPr>
        <w:adjustRightInd w:val="0"/>
        <w:snapToGrid w:val="0"/>
        <w:ind w:firstLine="454"/>
        <w:textAlignment w:val="baseline"/>
        <w:rPr>
          <w:sz w:val="24"/>
          <w:szCs w:val="21"/>
        </w:rPr>
      </w:pPr>
      <w:r>
        <w:rPr>
          <w:sz w:val="24"/>
          <w:szCs w:val="21"/>
        </w:rPr>
        <w:t>[1] [2] [3][4] 以江苏省人才培养工作状态数据采集与管理平台的相关数据为准。</w:t>
      </w:r>
    </w:p>
    <w:p>
      <w:pPr>
        <w:adjustRightInd w:val="0"/>
        <w:snapToGrid w:val="0"/>
        <w:spacing w:line="440" w:lineRule="exact"/>
        <w:ind w:firstLine="454"/>
        <w:rPr>
          <w:kern w:val="0"/>
          <w:sz w:val="27"/>
          <w:szCs w:val="27"/>
        </w:rPr>
      </w:pPr>
      <w:r>
        <w:rPr>
          <w:sz w:val="24"/>
          <w:szCs w:val="21"/>
        </w:rPr>
        <w:t>[5] 经问卷调查获得或根据社会中介机构提供的统计报告。</w:t>
      </w:r>
    </w:p>
    <w:p>
      <w:pPr>
        <w:adjustRightInd w:val="0"/>
        <w:snapToGrid w:val="0"/>
        <w:spacing w:line="360" w:lineRule="auto"/>
        <w:ind w:firstLine="454"/>
        <w:rPr>
          <w:szCs w:val="21"/>
        </w:rPr>
        <w:sectPr>
          <w:footerReference r:id="rId6" w:type="default"/>
          <w:pgSz w:w="16838" w:h="11906" w:orient="landscape"/>
          <w:pgMar w:top="1474" w:right="1418" w:bottom="1361" w:left="1418" w:header="851" w:footer="1021" w:gutter="0"/>
          <w:cols w:space="720" w:num="1"/>
          <w:docGrid w:type="lines" w:linePitch="312" w:charSpace="0"/>
        </w:sectPr>
      </w:pPr>
    </w:p>
    <w:p>
      <w:pPr>
        <w:adjustRightInd w:val="0"/>
        <w:snapToGrid w:val="0"/>
        <w:spacing w:after="156" w:afterLines="50" w:line="560" w:lineRule="exact"/>
        <w:rPr>
          <w:rFonts w:eastAsia="仿宋_GB2312"/>
          <w:sz w:val="30"/>
          <w:szCs w:val="30"/>
        </w:rPr>
      </w:pPr>
      <w:r>
        <w:rPr>
          <w:rFonts w:eastAsia="仿宋_GB2312"/>
          <w:sz w:val="30"/>
          <w:szCs w:val="30"/>
        </w:rPr>
        <w:t>附2</w:t>
      </w:r>
    </w:p>
    <w:p>
      <w:pPr>
        <w:adjustRightInd w:val="0"/>
        <w:snapToGrid w:val="0"/>
        <w:spacing w:line="360" w:lineRule="auto"/>
        <w:jc w:val="center"/>
        <w:rPr>
          <w:rFonts w:eastAsia="方正小标宋简体"/>
          <w:sz w:val="32"/>
          <w:szCs w:val="32"/>
        </w:rPr>
      </w:pPr>
      <w:r>
        <w:rPr>
          <w:rFonts w:eastAsia="方正小标宋简体"/>
          <w:sz w:val="32"/>
          <w:szCs w:val="32"/>
        </w:rPr>
        <w:t>江苏省新建高等职业院校人才培养工作合格评估结论标准</w:t>
      </w:r>
    </w:p>
    <w:p>
      <w:pPr>
        <w:adjustRightInd w:val="0"/>
        <w:snapToGrid w:val="0"/>
        <w:spacing w:line="360" w:lineRule="auto"/>
        <w:jc w:val="center"/>
        <w:rPr>
          <w:sz w:val="24"/>
        </w:rPr>
      </w:pPr>
    </w:p>
    <w:p>
      <w:pPr>
        <w:adjustRightInd w:val="0"/>
        <w:snapToGrid w:val="0"/>
        <w:spacing w:line="360" w:lineRule="auto"/>
        <w:rPr>
          <w:rFonts w:eastAsia="仿宋_GB2312"/>
          <w:sz w:val="30"/>
          <w:szCs w:val="30"/>
        </w:rPr>
      </w:pPr>
      <w:r>
        <w:rPr>
          <w:rFonts w:eastAsia="仿宋_GB2312"/>
          <w:sz w:val="30"/>
          <w:szCs w:val="30"/>
        </w:rPr>
        <w:t xml:space="preserve">    高等职业院校人才培养工作合格评估指标中，基本要素共28项，其中重点要素16项，评估要素结论分为“合格”、“基本合格”、“。不合格”三种，评估结论分为“通过”、“暂缓通过”、“不通过”三种，评估结论建立在要素结论之上。</w:t>
      </w:r>
    </w:p>
    <w:p>
      <w:pPr>
        <w:adjustRightInd w:val="0"/>
        <w:snapToGrid w:val="0"/>
        <w:spacing w:line="360" w:lineRule="auto"/>
        <w:ind w:firstLine="480"/>
        <w:rPr>
          <w:rFonts w:eastAsia="仿宋_GB2312"/>
          <w:b/>
          <w:sz w:val="30"/>
          <w:szCs w:val="30"/>
        </w:rPr>
      </w:pPr>
      <w:r>
        <w:rPr>
          <w:rFonts w:eastAsia="仿宋_GB2312"/>
          <w:b/>
          <w:sz w:val="30"/>
          <w:szCs w:val="30"/>
        </w:rPr>
        <w:t>一、 同时满足下列条件的院校评估结论为“通过”：</w:t>
      </w:r>
      <w:r>
        <w:rPr>
          <w:rFonts w:eastAsia="仿宋_GB2312"/>
          <w:b/>
          <w:sz w:val="30"/>
          <w:szCs w:val="30"/>
        </w:rPr>
        <w:tab/>
      </w:r>
    </w:p>
    <w:p>
      <w:pPr>
        <w:adjustRightInd w:val="0"/>
        <w:snapToGrid w:val="0"/>
        <w:spacing w:line="360" w:lineRule="auto"/>
        <w:ind w:firstLine="480"/>
        <w:rPr>
          <w:rFonts w:eastAsia="仿宋_GB2312"/>
          <w:sz w:val="30"/>
          <w:szCs w:val="30"/>
        </w:rPr>
      </w:pPr>
      <w:r>
        <w:rPr>
          <w:rFonts w:eastAsia="仿宋_GB2312"/>
          <w:sz w:val="30"/>
          <w:szCs w:val="30"/>
        </w:rPr>
        <w:t>（一）基本要素中合格≥20，不合格≤</w:t>
      </w:r>
      <w:r>
        <w:rPr>
          <w:rFonts w:eastAsia="仿宋"/>
          <w:sz w:val="30"/>
          <w:szCs w:val="30"/>
        </w:rPr>
        <w:t>3</w:t>
      </w:r>
      <w:r>
        <w:rPr>
          <w:rFonts w:eastAsia="仿宋_GB2312"/>
          <w:sz w:val="30"/>
          <w:szCs w:val="30"/>
        </w:rPr>
        <w:t>；</w:t>
      </w:r>
    </w:p>
    <w:p>
      <w:pPr>
        <w:adjustRightInd w:val="0"/>
        <w:snapToGrid w:val="0"/>
        <w:spacing w:line="360" w:lineRule="auto"/>
        <w:ind w:firstLine="480"/>
        <w:rPr>
          <w:rFonts w:eastAsia="仿宋_GB2312"/>
          <w:sz w:val="30"/>
          <w:szCs w:val="30"/>
        </w:rPr>
      </w:pPr>
      <w:r>
        <w:rPr>
          <w:rFonts w:eastAsia="仿宋_GB2312"/>
          <w:sz w:val="30"/>
          <w:szCs w:val="30"/>
        </w:rPr>
        <w:t>（二）重点要素中合格≥12，不合格≤</w:t>
      </w:r>
      <w:r>
        <w:rPr>
          <w:rFonts w:eastAsia="仿宋"/>
          <w:sz w:val="30"/>
          <w:szCs w:val="30"/>
        </w:rPr>
        <w:t>1</w:t>
      </w:r>
      <w:r>
        <w:rPr>
          <w:rFonts w:eastAsia="仿宋_GB2312"/>
          <w:sz w:val="30"/>
          <w:szCs w:val="30"/>
        </w:rPr>
        <w:t>。</w:t>
      </w:r>
    </w:p>
    <w:p>
      <w:pPr>
        <w:adjustRightInd w:val="0"/>
        <w:snapToGrid w:val="0"/>
        <w:spacing w:line="360" w:lineRule="auto"/>
        <w:ind w:firstLine="480"/>
        <w:rPr>
          <w:rFonts w:eastAsia="仿宋_GB2312"/>
          <w:b/>
          <w:sz w:val="30"/>
          <w:szCs w:val="30"/>
        </w:rPr>
      </w:pPr>
      <w:r>
        <w:rPr>
          <w:rFonts w:eastAsia="仿宋_GB2312"/>
          <w:b/>
          <w:sz w:val="30"/>
          <w:szCs w:val="30"/>
        </w:rPr>
        <w:t>二、满足下列条件之一的院校评估结论为“不通过”：</w:t>
      </w:r>
    </w:p>
    <w:p>
      <w:pPr>
        <w:adjustRightInd w:val="0"/>
        <w:snapToGrid w:val="0"/>
        <w:spacing w:line="360" w:lineRule="auto"/>
        <w:ind w:firstLine="480"/>
        <w:rPr>
          <w:rFonts w:eastAsia="仿宋_GB2312"/>
          <w:sz w:val="30"/>
          <w:szCs w:val="30"/>
        </w:rPr>
      </w:pPr>
      <w:r>
        <w:rPr>
          <w:rFonts w:eastAsia="仿宋_GB2312"/>
          <w:sz w:val="30"/>
          <w:szCs w:val="30"/>
        </w:rPr>
        <w:t>（一）基本要素中合格≤18</w:t>
      </w:r>
    </w:p>
    <w:p>
      <w:pPr>
        <w:adjustRightInd w:val="0"/>
        <w:snapToGrid w:val="0"/>
        <w:spacing w:line="360" w:lineRule="auto"/>
        <w:ind w:firstLine="480"/>
        <w:rPr>
          <w:rFonts w:eastAsia="仿宋_GB2312"/>
          <w:sz w:val="30"/>
          <w:szCs w:val="30"/>
        </w:rPr>
      </w:pPr>
      <w:r>
        <w:rPr>
          <w:rFonts w:eastAsia="仿宋_GB2312"/>
          <w:sz w:val="30"/>
          <w:szCs w:val="30"/>
        </w:rPr>
        <w:t>（二）基本要素中不合格≥</w:t>
      </w:r>
      <w:r>
        <w:rPr>
          <w:rFonts w:eastAsia="仿宋"/>
          <w:sz w:val="30"/>
          <w:szCs w:val="30"/>
        </w:rPr>
        <w:t>4</w:t>
      </w:r>
      <w:r>
        <w:rPr>
          <w:rFonts w:eastAsia="仿宋_GB2312"/>
          <w:sz w:val="30"/>
          <w:szCs w:val="30"/>
        </w:rPr>
        <w:t>；</w:t>
      </w:r>
    </w:p>
    <w:p>
      <w:pPr>
        <w:adjustRightInd w:val="0"/>
        <w:snapToGrid w:val="0"/>
        <w:spacing w:line="360" w:lineRule="auto"/>
        <w:ind w:firstLine="480"/>
        <w:rPr>
          <w:rFonts w:eastAsia="仿宋_GB2312"/>
          <w:sz w:val="30"/>
          <w:szCs w:val="30"/>
        </w:rPr>
      </w:pPr>
      <w:r>
        <w:rPr>
          <w:rFonts w:eastAsia="仿宋_GB2312"/>
          <w:sz w:val="30"/>
          <w:szCs w:val="30"/>
        </w:rPr>
        <w:t>（三）重点要素中合格≤12；</w:t>
      </w:r>
    </w:p>
    <w:p>
      <w:pPr>
        <w:adjustRightInd w:val="0"/>
        <w:snapToGrid w:val="0"/>
        <w:spacing w:line="360" w:lineRule="auto"/>
        <w:ind w:firstLine="480"/>
        <w:rPr>
          <w:rFonts w:eastAsia="仿宋_GB2312"/>
          <w:sz w:val="30"/>
          <w:szCs w:val="30"/>
        </w:rPr>
      </w:pPr>
      <w:r>
        <w:rPr>
          <w:rFonts w:eastAsia="仿宋_GB2312"/>
          <w:sz w:val="30"/>
          <w:szCs w:val="30"/>
        </w:rPr>
        <w:t>（四）重点要素中不合格≥3。</w:t>
      </w:r>
    </w:p>
    <w:p>
      <w:pPr>
        <w:adjustRightInd w:val="0"/>
        <w:snapToGrid w:val="0"/>
        <w:spacing w:line="360" w:lineRule="auto"/>
        <w:ind w:firstLine="480"/>
        <w:rPr>
          <w:rFonts w:eastAsia="仿宋_GB2312"/>
          <w:b/>
          <w:sz w:val="30"/>
          <w:szCs w:val="30"/>
        </w:rPr>
      </w:pPr>
      <w:r>
        <w:rPr>
          <w:rFonts w:eastAsia="仿宋_GB2312"/>
          <w:b/>
          <w:sz w:val="30"/>
          <w:szCs w:val="30"/>
        </w:rPr>
        <w:t>三、其它情形的院校评估结论为“暂缓通过”。</w:t>
      </w:r>
    </w:p>
    <w:p>
      <w:pPr>
        <w:adjustRightInd w:val="0"/>
        <w:snapToGrid w:val="0"/>
        <w:spacing w:line="360" w:lineRule="auto"/>
        <w:ind w:firstLine="480"/>
        <w:rPr>
          <w:rFonts w:eastAsia="仿宋_GB2312"/>
          <w:sz w:val="30"/>
          <w:szCs w:val="30"/>
        </w:rPr>
      </w:pPr>
    </w:p>
    <w:p>
      <w:pPr>
        <w:adjustRightInd w:val="0"/>
        <w:snapToGrid w:val="0"/>
        <w:spacing w:line="360" w:lineRule="auto"/>
        <w:ind w:firstLine="480"/>
        <w:rPr>
          <w:rFonts w:eastAsia="仿宋_GB2312"/>
          <w:sz w:val="30"/>
          <w:szCs w:val="30"/>
        </w:rPr>
      </w:pPr>
    </w:p>
    <w:p>
      <w:pPr>
        <w:adjustRightInd w:val="0"/>
        <w:snapToGrid w:val="0"/>
        <w:spacing w:line="360" w:lineRule="auto"/>
        <w:ind w:firstLine="480"/>
        <w:rPr>
          <w:sz w:val="24"/>
        </w:rPr>
      </w:pPr>
    </w:p>
    <w:p>
      <w:pPr>
        <w:adjustRightInd w:val="0"/>
        <w:snapToGrid w:val="0"/>
        <w:spacing w:line="360" w:lineRule="auto"/>
        <w:ind w:firstLine="480"/>
        <w:rPr>
          <w:sz w:val="24"/>
        </w:rPr>
      </w:pPr>
    </w:p>
    <w:p>
      <w:pPr>
        <w:adjustRightInd w:val="0"/>
        <w:snapToGrid w:val="0"/>
        <w:spacing w:line="360" w:lineRule="auto"/>
        <w:ind w:firstLine="480"/>
        <w:rPr>
          <w:sz w:val="24"/>
        </w:rPr>
      </w:pPr>
    </w:p>
    <w:p>
      <w:pPr>
        <w:adjustRightInd w:val="0"/>
        <w:snapToGrid w:val="0"/>
        <w:spacing w:line="360" w:lineRule="auto"/>
        <w:ind w:firstLine="480"/>
        <w:rPr>
          <w:sz w:val="24"/>
        </w:rPr>
      </w:pPr>
    </w:p>
    <w:p>
      <w:pPr>
        <w:adjustRightInd w:val="0"/>
        <w:snapToGrid w:val="0"/>
        <w:spacing w:line="360" w:lineRule="auto"/>
        <w:ind w:firstLine="480"/>
        <w:rPr>
          <w:sz w:val="24"/>
        </w:rPr>
      </w:pPr>
    </w:p>
    <w:p>
      <w:pPr>
        <w:adjustRightInd w:val="0"/>
        <w:snapToGrid w:val="0"/>
        <w:spacing w:line="300" w:lineRule="auto"/>
        <w:rPr>
          <w:rFonts w:eastAsia="仿宋_GB2312"/>
          <w:sz w:val="30"/>
          <w:szCs w:val="30"/>
        </w:rPr>
      </w:pPr>
    </w:p>
    <w:p>
      <w:pPr>
        <w:adjustRightInd w:val="0"/>
        <w:snapToGrid w:val="0"/>
        <w:spacing w:line="300" w:lineRule="auto"/>
        <w:rPr>
          <w:rFonts w:eastAsia="仿宋_GB2312"/>
          <w:sz w:val="30"/>
          <w:szCs w:val="30"/>
        </w:rPr>
      </w:pPr>
    </w:p>
    <w:p>
      <w:pPr>
        <w:adjustRightInd w:val="0"/>
        <w:snapToGrid w:val="0"/>
        <w:spacing w:line="300" w:lineRule="auto"/>
        <w:rPr>
          <w:rFonts w:eastAsia="仿宋_GB2312"/>
          <w:sz w:val="30"/>
          <w:szCs w:val="30"/>
        </w:rPr>
      </w:pPr>
    </w:p>
    <w:p>
      <w:pPr>
        <w:adjustRightInd w:val="0"/>
        <w:snapToGrid w:val="0"/>
        <w:spacing w:line="300" w:lineRule="auto"/>
        <w:rPr>
          <w:rFonts w:eastAsia="仿宋_GB2312"/>
          <w:sz w:val="30"/>
          <w:szCs w:val="30"/>
        </w:rPr>
      </w:pPr>
      <w:r>
        <w:rPr>
          <w:rFonts w:eastAsia="仿宋_GB2312"/>
          <w:sz w:val="30"/>
          <w:szCs w:val="30"/>
        </w:rPr>
        <w:t>附3：</w:t>
      </w:r>
    </w:p>
    <w:p>
      <w:pPr>
        <w:adjustRightInd w:val="0"/>
        <w:snapToGrid w:val="0"/>
        <w:jc w:val="center"/>
        <w:rPr>
          <w:rFonts w:eastAsia="方正小标宋简体"/>
          <w:sz w:val="36"/>
          <w:szCs w:val="36"/>
        </w:rPr>
      </w:pPr>
      <w:r>
        <w:rPr>
          <w:rFonts w:eastAsia="方正小标宋简体"/>
          <w:sz w:val="36"/>
          <w:szCs w:val="36"/>
        </w:rPr>
        <w:t>江苏省新建高等职业院校</w:t>
      </w:r>
    </w:p>
    <w:p>
      <w:pPr>
        <w:adjustRightInd w:val="0"/>
        <w:snapToGrid w:val="0"/>
        <w:jc w:val="center"/>
        <w:rPr>
          <w:rFonts w:eastAsia="方正小标宋简体"/>
          <w:sz w:val="36"/>
          <w:szCs w:val="36"/>
        </w:rPr>
      </w:pPr>
      <w:r>
        <w:rPr>
          <w:rFonts w:eastAsia="方正小标宋简体"/>
          <w:sz w:val="36"/>
          <w:szCs w:val="36"/>
        </w:rPr>
        <w:t>人才培养工作合格评估现场考察工作指南</w:t>
      </w:r>
    </w:p>
    <w:p>
      <w:pPr>
        <w:adjustRightInd w:val="0"/>
        <w:snapToGrid w:val="0"/>
        <w:spacing w:line="360" w:lineRule="auto"/>
        <w:ind w:firstLine="454"/>
        <w:jc w:val="center"/>
        <w:rPr>
          <w:rFonts w:eastAsia="仿宋_GB2312"/>
          <w:sz w:val="30"/>
          <w:szCs w:val="30"/>
        </w:rPr>
      </w:pPr>
    </w:p>
    <w:p>
      <w:pPr>
        <w:adjustRightInd w:val="0"/>
        <w:snapToGrid w:val="0"/>
        <w:spacing w:line="520" w:lineRule="exact"/>
        <w:ind w:firstLine="600" w:firstLineChars="200"/>
        <w:rPr>
          <w:rFonts w:eastAsia="仿宋_GB2312"/>
          <w:sz w:val="30"/>
          <w:szCs w:val="30"/>
        </w:rPr>
      </w:pPr>
      <w:r>
        <w:rPr>
          <w:rFonts w:eastAsia="仿宋_GB2312"/>
          <w:sz w:val="30"/>
          <w:szCs w:val="30"/>
        </w:rPr>
        <w:t>为使我省参加高等职业院校人才培养工作合格评估专家有所依据，帮助专家进一步理解高等职业院校人才培养工作评估的方针和相关政策，更好地把握高等职业教育规律和合格评估方案内涵实质，有效开展评估工作，依据《江苏省新建高等职业院校人才培养工作合格评估实施方案》特制定本指南。</w:t>
      </w:r>
    </w:p>
    <w:p>
      <w:pPr>
        <w:adjustRightInd w:val="0"/>
        <w:snapToGrid w:val="0"/>
        <w:spacing w:before="156" w:beforeLines="50" w:after="156" w:afterLines="50" w:line="520" w:lineRule="exact"/>
        <w:ind w:firstLine="600" w:firstLineChars="200"/>
        <w:rPr>
          <w:rFonts w:eastAsia="黑体"/>
          <w:sz w:val="30"/>
          <w:szCs w:val="30"/>
        </w:rPr>
      </w:pPr>
      <w:r>
        <w:rPr>
          <w:rFonts w:eastAsia="黑体"/>
          <w:sz w:val="30"/>
          <w:szCs w:val="30"/>
        </w:rPr>
        <w:t>一、专家选择</w:t>
      </w:r>
    </w:p>
    <w:p>
      <w:pPr>
        <w:adjustRightInd w:val="0"/>
        <w:snapToGrid w:val="0"/>
        <w:spacing w:line="520" w:lineRule="exact"/>
        <w:ind w:firstLine="600" w:firstLineChars="200"/>
        <w:rPr>
          <w:rFonts w:eastAsia="仿宋_GB2312"/>
          <w:sz w:val="30"/>
          <w:szCs w:val="30"/>
        </w:rPr>
      </w:pPr>
      <w:r>
        <w:rPr>
          <w:rFonts w:eastAsia="仿宋_GB2312"/>
          <w:sz w:val="30"/>
          <w:szCs w:val="30"/>
        </w:rPr>
        <w:t>评估专家组应由熟悉高等职业教育教学工作的人员组成，其中必须包括行业企业人员。省教育评估院根据评估学校的类型、办学定位、办学规模、专业设置及品牌特色专业等因素，按照回避原则，从专家库内抽取名单组成专家组。专家组人数一般8-9人（含秘书）。</w:t>
      </w:r>
    </w:p>
    <w:p>
      <w:pPr>
        <w:adjustRightInd w:val="0"/>
        <w:snapToGrid w:val="0"/>
        <w:spacing w:line="520" w:lineRule="exact"/>
        <w:ind w:firstLine="600" w:firstLineChars="200"/>
        <w:rPr>
          <w:rFonts w:eastAsia="仿宋_GB2312"/>
          <w:sz w:val="30"/>
          <w:szCs w:val="30"/>
        </w:rPr>
      </w:pPr>
      <w:r>
        <w:rPr>
          <w:rFonts w:eastAsia="仿宋_GB2312"/>
          <w:sz w:val="30"/>
          <w:szCs w:val="30"/>
        </w:rPr>
        <w:t>专家组成员与准评院校有下列情况，应主动向省教育评估院申请回避：现任职或受聘于准评院校；准评院校上级主管部门人员；直系亲属在准评院校工作或受聘于准评院校；其它有违公正原则应该回避的情形。</w:t>
      </w:r>
    </w:p>
    <w:p>
      <w:pPr>
        <w:adjustRightInd w:val="0"/>
        <w:snapToGrid w:val="0"/>
        <w:spacing w:before="156" w:beforeLines="50" w:after="156" w:afterLines="50" w:line="520" w:lineRule="exact"/>
        <w:ind w:firstLine="600" w:firstLineChars="200"/>
        <w:rPr>
          <w:rFonts w:eastAsia="黑体"/>
          <w:sz w:val="30"/>
          <w:szCs w:val="30"/>
        </w:rPr>
      </w:pPr>
      <w:r>
        <w:rPr>
          <w:rFonts w:eastAsia="黑体"/>
          <w:sz w:val="30"/>
          <w:szCs w:val="30"/>
        </w:rPr>
        <w:t>二、准备工作</w:t>
      </w:r>
    </w:p>
    <w:p>
      <w:pPr>
        <w:adjustRightInd w:val="0"/>
        <w:snapToGrid w:val="0"/>
        <w:spacing w:line="520" w:lineRule="exact"/>
        <w:ind w:firstLine="600" w:firstLineChars="200"/>
        <w:rPr>
          <w:rFonts w:eastAsia="仿宋_GB2312"/>
          <w:sz w:val="30"/>
          <w:szCs w:val="30"/>
          <w:u w:val="single"/>
        </w:rPr>
      </w:pPr>
      <w:r>
        <w:rPr>
          <w:rFonts w:eastAsia="仿宋_GB2312"/>
          <w:sz w:val="30"/>
          <w:szCs w:val="30"/>
        </w:rPr>
        <w:t>1.业务学习。评估专家应认真学习评估工作文件和有关高等职业教育改革发展的有关政策。准确把握评估工作导向，深入理解评估指标体系的逻辑结构与内涵实质。</w:t>
      </w:r>
    </w:p>
    <w:p>
      <w:pPr>
        <w:widowControl/>
        <w:adjustRightInd w:val="0"/>
        <w:snapToGrid w:val="0"/>
        <w:spacing w:line="520" w:lineRule="exact"/>
        <w:ind w:firstLine="600" w:firstLineChars="200"/>
        <w:jc w:val="left"/>
        <w:rPr>
          <w:rFonts w:eastAsia="仿宋_GB2312"/>
          <w:kern w:val="0"/>
          <w:sz w:val="30"/>
          <w:szCs w:val="30"/>
          <w:u w:val="single"/>
        </w:rPr>
      </w:pPr>
      <w:r>
        <w:rPr>
          <w:rFonts w:eastAsia="仿宋_GB2312"/>
          <w:kern w:val="0"/>
          <w:sz w:val="30"/>
          <w:szCs w:val="30"/>
        </w:rPr>
        <w:t>2.现场考察前准备。接受评估任务后，评估专家应对人才培养工作状态数据进行分析，研读学校自评报告、章程、相关管理制度、事业发展规划、教育质量年度报告等材料，对照《江苏省新建高等职业院校人才培养工作合格评估指标体系》给出专家预审意见（表1），供专家组预备会议讨论使用。</w:t>
      </w:r>
    </w:p>
    <w:p>
      <w:pPr>
        <w:adjustRightInd w:val="0"/>
        <w:snapToGrid w:val="0"/>
        <w:spacing w:line="520" w:lineRule="exact"/>
        <w:ind w:firstLine="600" w:firstLineChars="200"/>
        <w:rPr>
          <w:rFonts w:eastAsia="仿宋_GB2312"/>
          <w:sz w:val="30"/>
          <w:szCs w:val="30"/>
        </w:rPr>
      </w:pPr>
      <w:r>
        <w:rPr>
          <w:rFonts w:eastAsia="仿宋_GB2312"/>
          <w:sz w:val="30"/>
          <w:szCs w:val="30"/>
        </w:rPr>
        <w:t>3.专家组预备会。专家组内交流研讨预审意见并制定评估工作现场考察方案，审议专家组长提出的考察工作日程和专家组分工方案。每位专家根据分工制订个人工作日程安排（表2）、根据需要制定访谈提纲。所有方案和日程由专家组秘书负责收集，专家组工作结束后交省评估委员会存档备查。</w:t>
      </w:r>
    </w:p>
    <w:p>
      <w:pPr>
        <w:adjustRightInd w:val="0"/>
        <w:snapToGrid w:val="0"/>
        <w:spacing w:before="156" w:beforeLines="50" w:after="156" w:afterLines="50" w:line="520" w:lineRule="exact"/>
        <w:ind w:firstLine="600" w:firstLineChars="200"/>
        <w:rPr>
          <w:rFonts w:eastAsia="黑体"/>
          <w:sz w:val="30"/>
          <w:szCs w:val="30"/>
        </w:rPr>
      </w:pPr>
      <w:r>
        <w:rPr>
          <w:rFonts w:eastAsia="黑体"/>
          <w:sz w:val="30"/>
          <w:szCs w:val="30"/>
        </w:rPr>
        <w:t>三、现场考察</w:t>
      </w:r>
    </w:p>
    <w:p>
      <w:pPr>
        <w:adjustRightInd w:val="0"/>
        <w:snapToGrid w:val="0"/>
        <w:spacing w:line="520" w:lineRule="exact"/>
        <w:ind w:firstLine="600" w:firstLineChars="200"/>
        <w:rPr>
          <w:rFonts w:eastAsia="仿宋_GB2312"/>
          <w:sz w:val="30"/>
          <w:szCs w:val="30"/>
        </w:rPr>
      </w:pPr>
      <w:r>
        <w:rPr>
          <w:rFonts w:eastAsia="仿宋_GB2312"/>
          <w:sz w:val="30"/>
          <w:szCs w:val="30"/>
        </w:rPr>
        <w:t>1.听取汇报。听取学校主要领导自评情况汇报，汇报内容应基于人才培养工作状态平台数据分析，包含学校概况（沿革与现状）、人才培养工作自我评价、存在的突出问题及原因分析、整改思路等部分，一般不超过30分钟。</w:t>
      </w:r>
    </w:p>
    <w:p>
      <w:pPr>
        <w:adjustRightInd w:val="0"/>
        <w:snapToGrid w:val="0"/>
        <w:spacing w:line="520" w:lineRule="exact"/>
        <w:ind w:firstLine="600" w:firstLineChars="200"/>
        <w:rPr>
          <w:rFonts w:eastAsia="仿宋_GB2312"/>
          <w:sz w:val="30"/>
          <w:szCs w:val="30"/>
        </w:rPr>
      </w:pPr>
      <w:r>
        <w:rPr>
          <w:rFonts w:eastAsia="仿宋_GB2312"/>
          <w:sz w:val="30"/>
          <w:szCs w:val="30"/>
        </w:rPr>
        <w:t>2.深度访谈。依据专家事先明确的访谈目的和访谈提纲，视需要选择学校领导、中层干部、教职工、学生、用人单位人员等对象进行访谈。访谈结束后，填写《深度访谈记录表》（表3）。</w:t>
      </w:r>
    </w:p>
    <w:p>
      <w:pPr>
        <w:adjustRightInd w:val="0"/>
        <w:snapToGrid w:val="0"/>
        <w:spacing w:line="520" w:lineRule="exact"/>
        <w:ind w:firstLine="600" w:firstLineChars="200"/>
        <w:rPr>
          <w:rFonts w:eastAsia="仿宋_GB2312"/>
          <w:sz w:val="30"/>
          <w:szCs w:val="30"/>
        </w:rPr>
      </w:pPr>
      <w:r>
        <w:rPr>
          <w:rFonts w:eastAsia="仿宋_GB2312"/>
          <w:sz w:val="30"/>
          <w:szCs w:val="30"/>
        </w:rPr>
        <w:t>3.剖析专业。原则上剖析2个专业，学校推荐1个，专家随机选择1个，进行重点剖析。除听取专业带头人汇报（一般不超过20分钟），还可以通过访谈、座谈、实地考察等多种形式增加对专业信息的了解。在对专业剖析情况进行总结，全面、准确掌握该专业实际状态的基础上，填写《专业剖析表》（表4）。</w:t>
      </w:r>
    </w:p>
    <w:p>
      <w:pPr>
        <w:adjustRightInd w:val="0"/>
        <w:snapToGrid w:val="0"/>
        <w:spacing w:line="520" w:lineRule="exact"/>
        <w:ind w:firstLine="600" w:firstLineChars="200"/>
        <w:rPr>
          <w:rFonts w:eastAsia="仿宋_GB2312"/>
          <w:sz w:val="30"/>
          <w:szCs w:val="30"/>
        </w:rPr>
      </w:pPr>
      <w:r>
        <w:rPr>
          <w:rFonts w:eastAsia="仿宋_GB2312"/>
          <w:sz w:val="30"/>
          <w:szCs w:val="30"/>
        </w:rPr>
        <w:t>4.课程标准解读。原则上选择2－3个课程标准，学校推荐1－2个，专家随机选择1－2个。听取课程标准起草教师围绕课程功能、目标、形式、内容的定位和选择进行陈述（一般不超过20分钟），也可视需要进行交流。课程标准解读完成后，专家应填写《课程标准解读表》（表5）。</w:t>
      </w:r>
    </w:p>
    <w:p>
      <w:pPr>
        <w:adjustRightInd w:val="0"/>
        <w:snapToGrid w:val="0"/>
        <w:spacing w:line="520" w:lineRule="exact"/>
        <w:ind w:firstLine="600" w:firstLineChars="200"/>
        <w:rPr>
          <w:rFonts w:eastAsia="仿宋_GB2312"/>
          <w:sz w:val="30"/>
          <w:szCs w:val="30"/>
        </w:rPr>
      </w:pPr>
      <w:r>
        <w:rPr>
          <w:rFonts w:eastAsia="仿宋_GB2312"/>
          <w:sz w:val="30"/>
          <w:szCs w:val="30"/>
        </w:rPr>
        <w:t>5.说课（听课）。原则上说课2－3门，学校推荐1－2门，专家随机选择专业主干课1－2门。听取相关课程的任课教师围绕课堂教学组织与成效进行陈述（一般不超过20分钟），也可视需要进行交流。说课者可将课程标准、教案、教材和主要教学参考资料、授课计划、助教助学多媒体课件及其他教具展示给专家。说课完成后，专家应填写《说课（听课）记录表》（表6）。专家组还可视需要随机听课。</w:t>
      </w:r>
    </w:p>
    <w:p>
      <w:pPr>
        <w:adjustRightInd w:val="0"/>
        <w:snapToGrid w:val="0"/>
        <w:spacing w:line="520" w:lineRule="exact"/>
        <w:ind w:firstLine="600" w:firstLineChars="200"/>
        <w:rPr>
          <w:rFonts w:eastAsia="仿宋_GB2312"/>
          <w:sz w:val="30"/>
          <w:szCs w:val="30"/>
        </w:rPr>
      </w:pPr>
      <w:r>
        <w:rPr>
          <w:rFonts w:eastAsia="仿宋_GB2312"/>
          <w:sz w:val="30"/>
          <w:szCs w:val="30"/>
        </w:rPr>
        <w:t>6.实地考察。有针对性地调研学校教育教学基本设施，重点考察校内实验实训设施和校外实习基地，并结合分工考察校园文化、教风、学风、校风、教师教研活动和学生课内外学习活动等，填写《专家个人考察意见表》（表7）。</w:t>
      </w:r>
    </w:p>
    <w:p>
      <w:pPr>
        <w:adjustRightInd w:val="0"/>
        <w:snapToGrid w:val="0"/>
        <w:spacing w:line="520" w:lineRule="exact"/>
        <w:ind w:firstLine="600" w:firstLineChars="200"/>
        <w:rPr>
          <w:rFonts w:eastAsia="仿宋_GB2312"/>
          <w:sz w:val="30"/>
          <w:szCs w:val="30"/>
        </w:rPr>
      </w:pPr>
      <w:r>
        <w:rPr>
          <w:rFonts w:eastAsia="仿宋_GB2312"/>
          <w:sz w:val="30"/>
          <w:szCs w:val="30"/>
        </w:rPr>
        <w:t>7.查阅资料。根据评估指标、采集平台数据、访谈结果及专业剖析过程中的有关情况，有针对性地查阅资料，填写《专家个人考察意见表》（表7）。</w:t>
      </w:r>
    </w:p>
    <w:p>
      <w:pPr>
        <w:adjustRightInd w:val="0"/>
        <w:snapToGrid w:val="0"/>
        <w:spacing w:before="156" w:beforeLines="50" w:after="156" w:afterLines="50" w:line="520" w:lineRule="exact"/>
        <w:ind w:firstLine="600" w:firstLineChars="200"/>
        <w:rPr>
          <w:rFonts w:eastAsia="黑体"/>
          <w:sz w:val="30"/>
          <w:szCs w:val="30"/>
        </w:rPr>
      </w:pPr>
      <w:r>
        <w:rPr>
          <w:rFonts w:eastAsia="黑体"/>
          <w:sz w:val="30"/>
          <w:szCs w:val="30"/>
        </w:rPr>
        <w:t>四、结论形成</w:t>
      </w:r>
    </w:p>
    <w:p>
      <w:pPr>
        <w:adjustRightInd w:val="0"/>
        <w:snapToGrid w:val="0"/>
        <w:spacing w:line="520" w:lineRule="exact"/>
        <w:ind w:firstLine="600" w:firstLineChars="200"/>
        <w:rPr>
          <w:rFonts w:eastAsia="仿宋_GB2312"/>
          <w:sz w:val="30"/>
          <w:szCs w:val="30"/>
        </w:rPr>
      </w:pPr>
      <w:r>
        <w:rPr>
          <w:rFonts w:eastAsia="仿宋_GB2312"/>
          <w:sz w:val="30"/>
          <w:szCs w:val="30"/>
        </w:rPr>
        <w:t>1.民主评议。现场考察完成后，每位专家须对考察获得的信息进行梳理和汇总，对分工考察的项目形成初步判断意见。考察评估情况通报会的前一天下午或晚上，由专家组组长召集民主评议，决定考察评估意见和评估结论建议。</w:t>
      </w:r>
    </w:p>
    <w:p>
      <w:pPr>
        <w:adjustRightInd w:val="0"/>
        <w:snapToGrid w:val="0"/>
        <w:spacing w:line="520" w:lineRule="exact"/>
        <w:ind w:firstLine="600" w:firstLineChars="200"/>
        <w:rPr>
          <w:rFonts w:eastAsia="仿宋_GB2312"/>
          <w:b/>
          <w:sz w:val="30"/>
          <w:szCs w:val="30"/>
        </w:rPr>
      </w:pPr>
      <w:r>
        <w:rPr>
          <w:rFonts w:eastAsia="仿宋_GB2312"/>
          <w:sz w:val="30"/>
          <w:szCs w:val="30"/>
        </w:rPr>
        <w:t>2.结论建议。在民主评议的基础上，专家组成员按照评估指标体系要求，对学校的评估结论进行投票（秘书不参与表决）。2/3及以上专家投票通过的，评估结论建议即为通过（表8）。</w:t>
      </w:r>
    </w:p>
    <w:p>
      <w:pPr>
        <w:adjustRightInd w:val="0"/>
        <w:snapToGrid w:val="0"/>
        <w:spacing w:line="520" w:lineRule="exact"/>
        <w:ind w:firstLine="600" w:firstLineChars="200"/>
        <w:rPr>
          <w:rFonts w:eastAsia="仿宋_GB2312"/>
          <w:sz w:val="30"/>
          <w:szCs w:val="30"/>
        </w:rPr>
      </w:pPr>
      <w:r>
        <w:rPr>
          <w:rFonts w:eastAsia="仿宋_GB2312"/>
          <w:sz w:val="30"/>
          <w:szCs w:val="30"/>
        </w:rPr>
        <w:t>未通过的学校，专家组进行第2次投票。按2/3及以上专家投票的结果确定暂缓通过或不通过的评估结论建议。</w:t>
      </w:r>
    </w:p>
    <w:p>
      <w:pPr>
        <w:adjustRightInd w:val="0"/>
        <w:snapToGrid w:val="0"/>
        <w:spacing w:before="156" w:beforeLines="50" w:after="156" w:afterLines="50" w:line="520" w:lineRule="exact"/>
        <w:ind w:firstLine="600" w:firstLineChars="200"/>
        <w:rPr>
          <w:rFonts w:eastAsia="黑体"/>
          <w:sz w:val="30"/>
          <w:szCs w:val="30"/>
        </w:rPr>
      </w:pPr>
      <w:r>
        <w:rPr>
          <w:rFonts w:eastAsia="黑体"/>
          <w:sz w:val="30"/>
          <w:szCs w:val="30"/>
        </w:rPr>
        <w:t>五、意见反馈</w:t>
      </w:r>
    </w:p>
    <w:p>
      <w:pPr>
        <w:adjustRightInd w:val="0"/>
        <w:snapToGrid w:val="0"/>
        <w:spacing w:line="520" w:lineRule="exact"/>
        <w:ind w:firstLine="600" w:firstLineChars="200"/>
        <w:rPr>
          <w:rFonts w:eastAsia="仿宋_GB2312"/>
          <w:sz w:val="30"/>
          <w:szCs w:val="30"/>
        </w:rPr>
      </w:pPr>
      <w:r>
        <w:rPr>
          <w:rFonts w:eastAsia="仿宋_GB2312"/>
          <w:sz w:val="30"/>
          <w:szCs w:val="30"/>
        </w:rPr>
        <w:t>专家组离校前，将集体讨论形成的评估考察意见向学校反馈。反馈意见分为两步，第一步向学校领导班子和职能部门、剖析专业所在教学系部主要负责人进行反馈；第二步召开考察评估情况通报会，由专家组长向学校中层以上领导干部、师生员工代表及主管部门领导宣读评估考察意见。评估考察意见反馈的重点：</w:t>
      </w:r>
    </w:p>
    <w:p>
      <w:pPr>
        <w:adjustRightInd w:val="0"/>
        <w:snapToGrid w:val="0"/>
        <w:spacing w:line="520" w:lineRule="exact"/>
        <w:ind w:firstLine="600" w:firstLineChars="200"/>
        <w:rPr>
          <w:rFonts w:eastAsia="仿宋_GB2312"/>
          <w:sz w:val="30"/>
          <w:szCs w:val="30"/>
        </w:rPr>
      </w:pPr>
      <w:r>
        <w:rPr>
          <w:sz w:val="30"/>
          <w:szCs w:val="30"/>
        </w:rPr>
        <w:t>1.</w:t>
      </w:r>
      <w:r>
        <w:rPr>
          <w:rFonts w:eastAsia="仿宋_GB2312"/>
          <w:sz w:val="30"/>
          <w:szCs w:val="30"/>
        </w:rPr>
        <w:t>考察评估工作概况：主要采用的考察方式和主要工作过程。</w:t>
      </w:r>
    </w:p>
    <w:p>
      <w:pPr>
        <w:adjustRightInd w:val="0"/>
        <w:snapToGrid w:val="0"/>
        <w:spacing w:line="520" w:lineRule="exact"/>
        <w:ind w:firstLine="600" w:firstLineChars="200"/>
        <w:rPr>
          <w:rFonts w:eastAsia="仿宋_GB2312"/>
          <w:sz w:val="30"/>
          <w:szCs w:val="30"/>
        </w:rPr>
      </w:pPr>
      <w:r>
        <w:rPr>
          <w:sz w:val="30"/>
          <w:szCs w:val="30"/>
        </w:rPr>
        <w:t>2.</w:t>
      </w:r>
      <w:r>
        <w:rPr>
          <w:rFonts w:eastAsia="仿宋_GB2312"/>
          <w:sz w:val="30"/>
          <w:szCs w:val="30"/>
        </w:rPr>
        <w:t>对学校评估工作的总体印象：简述学校的发展状况，着重反映学校对评估的重视程度，参与评估工作的指导思想、态度、评建结合的情况和成果。</w:t>
      </w:r>
    </w:p>
    <w:p>
      <w:pPr>
        <w:adjustRightInd w:val="0"/>
        <w:snapToGrid w:val="0"/>
        <w:spacing w:line="520" w:lineRule="exact"/>
        <w:ind w:firstLine="600" w:firstLineChars="200"/>
        <w:rPr>
          <w:rFonts w:eastAsia="仿宋_GB2312"/>
          <w:sz w:val="30"/>
          <w:szCs w:val="30"/>
        </w:rPr>
      </w:pPr>
      <w:r>
        <w:rPr>
          <w:sz w:val="30"/>
          <w:szCs w:val="30"/>
        </w:rPr>
        <w:t>3.</w:t>
      </w:r>
      <w:r>
        <w:rPr>
          <w:rFonts w:eastAsia="仿宋_GB2312"/>
          <w:sz w:val="30"/>
          <w:szCs w:val="30"/>
        </w:rPr>
        <w:t>学校人才培养工作的主要成绩：肯定学校改革和建设等方面所取得的成绩，特别是在丰富高等职业教育办学内涵、彰显学校办学特色方面的成绩。评价意见要客观、简洁、到位并富有建设性，避免形式主义。</w:t>
      </w:r>
    </w:p>
    <w:p>
      <w:pPr>
        <w:adjustRightInd w:val="0"/>
        <w:snapToGrid w:val="0"/>
        <w:spacing w:line="520" w:lineRule="exact"/>
        <w:ind w:firstLine="600" w:firstLineChars="200"/>
        <w:rPr>
          <w:rFonts w:eastAsia="仿宋_GB2312"/>
          <w:sz w:val="30"/>
          <w:szCs w:val="30"/>
        </w:rPr>
      </w:pPr>
      <w:r>
        <w:rPr>
          <w:sz w:val="30"/>
          <w:szCs w:val="30"/>
        </w:rPr>
        <w:t>4.</w:t>
      </w:r>
      <w:r>
        <w:rPr>
          <w:rFonts w:eastAsia="仿宋_GB2312"/>
          <w:sz w:val="30"/>
          <w:szCs w:val="30"/>
        </w:rPr>
        <w:t>学校人才培养工作存在的主要问题及产生问题的原因分析。</w:t>
      </w:r>
    </w:p>
    <w:p>
      <w:pPr>
        <w:adjustRightInd w:val="0"/>
        <w:snapToGrid w:val="0"/>
        <w:spacing w:line="520" w:lineRule="exact"/>
        <w:ind w:firstLine="600" w:firstLineChars="200"/>
        <w:rPr>
          <w:rFonts w:eastAsia="仿宋_GB2312"/>
          <w:sz w:val="30"/>
          <w:szCs w:val="30"/>
        </w:rPr>
      </w:pPr>
      <w:r>
        <w:rPr>
          <w:sz w:val="30"/>
          <w:szCs w:val="30"/>
        </w:rPr>
        <w:t>5.</w:t>
      </w:r>
      <w:r>
        <w:rPr>
          <w:rFonts w:eastAsia="仿宋_GB2312"/>
          <w:sz w:val="30"/>
          <w:szCs w:val="30"/>
        </w:rPr>
        <w:t>提出整改建议：针对影响学校发展及人才培养质量方面存在的突出问题，提出整改建议。</w:t>
      </w:r>
    </w:p>
    <w:p>
      <w:pPr>
        <w:adjustRightInd w:val="0"/>
        <w:snapToGrid w:val="0"/>
        <w:spacing w:line="520" w:lineRule="exact"/>
        <w:ind w:firstLine="600" w:firstLineChars="200"/>
        <w:rPr>
          <w:rFonts w:eastAsia="仿宋_GB2312"/>
          <w:sz w:val="30"/>
          <w:szCs w:val="30"/>
        </w:rPr>
      </w:pPr>
      <w:r>
        <w:rPr>
          <w:sz w:val="30"/>
          <w:szCs w:val="30"/>
        </w:rPr>
        <w:t>6.</w:t>
      </w:r>
      <w:r>
        <w:rPr>
          <w:rFonts w:eastAsia="仿宋_GB2312"/>
          <w:sz w:val="30"/>
          <w:szCs w:val="30"/>
        </w:rPr>
        <w:t>向学校主管部门提出有关建议：对于在评估过程中发现的影响被评学校发展的瓶颈问题及产生的原因，专家组应向被评学校主管部门提出相应建议，争取被评学校主管部门对学校建设的支持。</w:t>
      </w:r>
    </w:p>
    <w:p>
      <w:pPr>
        <w:adjustRightInd w:val="0"/>
        <w:snapToGrid w:val="0"/>
        <w:spacing w:before="156" w:beforeLines="50" w:after="156" w:afterLines="50" w:line="520" w:lineRule="exact"/>
        <w:ind w:firstLine="600" w:firstLineChars="200"/>
        <w:rPr>
          <w:rFonts w:eastAsia="黑体"/>
          <w:sz w:val="30"/>
          <w:szCs w:val="30"/>
        </w:rPr>
      </w:pPr>
      <w:r>
        <w:rPr>
          <w:rFonts w:eastAsia="黑体"/>
          <w:sz w:val="30"/>
          <w:szCs w:val="30"/>
        </w:rPr>
        <w:t>六、评估报告</w:t>
      </w:r>
    </w:p>
    <w:p>
      <w:pPr>
        <w:adjustRightInd w:val="0"/>
        <w:snapToGrid w:val="0"/>
        <w:spacing w:line="520" w:lineRule="exact"/>
        <w:ind w:firstLine="600" w:firstLineChars="200"/>
        <w:rPr>
          <w:rFonts w:eastAsia="仿宋_GB2312"/>
          <w:sz w:val="30"/>
          <w:szCs w:val="30"/>
        </w:rPr>
      </w:pPr>
      <w:r>
        <w:rPr>
          <w:rFonts w:eastAsia="仿宋_GB2312"/>
          <w:sz w:val="30"/>
          <w:szCs w:val="30"/>
        </w:rPr>
        <w:t>评估报告由专家组以向学校反馈的评估考察意见为基础撰写，最后提出评估结论建议。其主要内容一般可包括以下六个组成部分：</w:t>
      </w:r>
    </w:p>
    <w:p>
      <w:pPr>
        <w:adjustRightInd w:val="0"/>
        <w:snapToGrid w:val="0"/>
        <w:spacing w:line="520" w:lineRule="exact"/>
        <w:ind w:firstLine="600" w:firstLineChars="200"/>
        <w:rPr>
          <w:rFonts w:eastAsia="仿宋_GB2312"/>
          <w:sz w:val="30"/>
          <w:szCs w:val="30"/>
        </w:rPr>
      </w:pPr>
      <w:r>
        <w:rPr>
          <w:sz w:val="30"/>
          <w:szCs w:val="30"/>
        </w:rPr>
        <w:t>1.</w:t>
      </w:r>
      <w:r>
        <w:rPr>
          <w:rFonts w:eastAsia="仿宋_GB2312"/>
          <w:sz w:val="30"/>
          <w:szCs w:val="30"/>
        </w:rPr>
        <w:t>考察评估工作概况；</w:t>
      </w:r>
    </w:p>
    <w:p>
      <w:pPr>
        <w:adjustRightInd w:val="0"/>
        <w:snapToGrid w:val="0"/>
        <w:spacing w:line="520" w:lineRule="exact"/>
        <w:ind w:firstLine="600" w:firstLineChars="200"/>
        <w:rPr>
          <w:rFonts w:eastAsia="仿宋_GB2312"/>
          <w:sz w:val="30"/>
          <w:szCs w:val="30"/>
        </w:rPr>
      </w:pPr>
      <w:r>
        <w:rPr>
          <w:sz w:val="30"/>
          <w:szCs w:val="30"/>
        </w:rPr>
        <w:t>2.</w:t>
      </w:r>
      <w:r>
        <w:rPr>
          <w:rFonts w:eastAsia="仿宋_GB2312"/>
          <w:sz w:val="30"/>
          <w:szCs w:val="30"/>
        </w:rPr>
        <w:t>对学校评估工作的总体印象；</w:t>
      </w:r>
    </w:p>
    <w:p>
      <w:pPr>
        <w:adjustRightInd w:val="0"/>
        <w:snapToGrid w:val="0"/>
        <w:spacing w:line="520" w:lineRule="exact"/>
        <w:ind w:firstLine="600" w:firstLineChars="200"/>
        <w:rPr>
          <w:rFonts w:eastAsia="仿宋_GB2312"/>
          <w:sz w:val="30"/>
          <w:szCs w:val="30"/>
        </w:rPr>
      </w:pPr>
      <w:r>
        <w:rPr>
          <w:sz w:val="30"/>
          <w:szCs w:val="30"/>
        </w:rPr>
        <w:t>3.</w:t>
      </w:r>
      <w:r>
        <w:rPr>
          <w:rFonts w:eastAsia="仿宋_GB2312"/>
          <w:sz w:val="30"/>
          <w:szCs w:val="30"/>
        </w:rPr>
        <w:t>学校人才培养工作的主要成绩；</w:t>
      </w:r>
    </w:p>
    <w:p>
      <w:pPr>
        <w:adjustRightInd w:val="0"/>
        <w:snapToGrid w:val="0"/>
        <w:spacing w:line="520" w:lineRule="exact"/>
        <w:ind w:firstLine="600" w:firstLineChars="200"/>
        <w:rPr>
          <w:rFonts w:eastAsia="仿宋_GB2312"/>
          <w:sz w:val="30"/>
          <w:szCs w:val="30"/>
        </w:rPr>
      </w:pPr>
      <w:r>
        <w:rPr>
          <w:sz w:val="30"/>
          <w:szCs w:val="30"/>
        </w:rPr>
        <w:t>4.</w:t>
      </w:r>
      <w:r>
        <w:rPr>
          <w:rFonts w:eastAsia="仿宋_GB2312"/>
          <w:sz w:val="30"/>
          <w:szCs w:val="30"/>
        </w:rPr>
        <w:t>学校人才培养工作存在的主要问题及原因分析；</w:t>
      </w:r>
    </w:p>
    <w:p>
      <w:pPr>
        <w:adjustRightInd w:val="0"/>
        <w:snapToGrid w:val="0"/>
        <w:spacing w:line="520" w:lineRule="exact"/>
        <w:ind w:firstLine="600" w:firstLineChars="200"/>
        <w:rPr>
          <w:rFonts w:eastAsia="仿宋_GB2312"/>
          <w:sz w:val="30"/>
          <w:szCs w:val="30"/>
        </w:rPr>
      </w:pPr>
      <w:r>
        <w:rPr>
          <w:sz w:val="30"/>
          <w:szCs w:val="30"/>
        </w:rPr>
        <w:t>5.</w:t>
      </w:r>
      <w:r>
        <w:rPr>
          <w:rFonts w:eastAsia="仿宋_GB2312"/>
          <w:sz w:val="30"/>
          <w:szCs w:val="30"/>
        </w:rPr>
        <w:t>评估整改建议；</w:t>
      </w:r>
    </w:p>
    <w:p>
      <w:pPr>
        <w:adjustRightInd w:val="0"/>
        <w:snapToGrid w:val="0"/>
        <w:spacing w:line="520" w:lineRule="exact"/>
        <w:ind w:firstLine="600" w:firstLineChars="200"/>
        <w:rPr>
          <w:rFonts w:eastAsia="仿宋_GB2312"/>
          <w:sz w:val="30"/>
          <w:szCs w:val="30"/>
        </w:rPr>
      </w:pPr>
      <w:r>
        <w:rPr>
          <w:sz w:val="30"/>
          <w:szCs w:val="30"/>
        </w:rPr>
        <w:t>6.</w:t>
      </w:r>
      <w:r>
        <w:rPr>
          <w:rFonts w:eastAsia="仿宋_GB2312"/>
          <w:sz w:val="30"/>
          <w:szCs w:val="30"/>
        </w:rPr>
        <w:t>向学校主管部门提出的有关建议；</w:t>
      </w:r>
    </w:p>
    <w:p>
      <w:pPr>
        <w:adjustRightInd w:val="0"/>
        <w:snapToGrid w:val="0"/>
        <w:spacing w:line="520" w:lineRule="exact"/>
        <w:ind w:firstLine="600" w:firstLineChars="200"/>
        <w:rPr>
          <w:rFonts w:eastAsia="仿宋_GB2312"/>
          <w:sz w:val="30"/>
          <w:szCs w:val="30"/>
        </w:rPr>
      </w:pPr>
      <w:r>
        <w:rPr>
          <w:sz w:val="30"/>
          <w:szCs w:val="30"/>
        </w:rPr>
        <w:t>7.</w:t>
      </w:r>
      <w:r>
        <w:rPr>
          <w:rFonts w:eastAsia="仿宋_GB2312"/>
          <w:sz w:val="30"/>
          <w:szCs w:val="30"/>
        </w:rPr>
        <w:t>评估结论建议。</w:t>
      </w:r>
    </w:p>
    <w:p>
      <w:pPr>
        <w:adjustRightInd w:val="0"/>
        <w:snapToGrid w:val="0"/>
        <w:spacing w:before="156" w:beforeLines="50" w:after="156" w:afterLines="50" w:line="520" w:lineRule="exact"/>
        <w:ind w:firstLine="600" w:firstLineChars="200"/>
        <w:rPr>
          <w:rFonts w:eastAsia="黑体"/>
          <w:sz w:val="30"/>
          <w:szCs w:val="30"/>
        </w:rPr>
      </w:pPr>
      <w:r>
        <w:rPr>
          <w:rFonts w:eastAsia="黑体"/>
          <w:sz w:val="30"/>
          <w:szCs w:val="30"/>
        </w:rPr>
        <w:t>七、材料报送</w:t>
      </w:r>
    </w:p>
    <w:p>
      <w:pPr>
        <w:adjustRightInd w:val="0"/>
        <w:snapToGrid w:val="0"/>
        <w:spacing w:line="520" w:lineRule="exact"/>
        <w:ind w:firstLine="600" w:firstLineChars="200"/>
        <w:rPr>
          <w:rFonts w:eastAsia="仿宋_GB2312"/>
          <w:sz w:val="30"/>
          <w:szCs w:val="30"/>
        </w:rPr>
      </w:pPr>
      <w:r>
        <w:rPr>
          <w:rFonts w:eastAsia="仿宋_GB2312"/>
          <w:sz w:val="30"/>
          <w:szCs w:val="30"/>
        </w:rPr>
        <w:t>评估结束后，专家组秘书负责向省教育评估院报送评估报告及相关附件。附件主要包括：</w:t>
      </w:r>
    </w:p>
    <w:p>
      <w:pPr>
        <w:adjustRightInd w:val="0"/>
        <w:snapToGrid w:val="0"/>
        <w:spacing w:line="520" w:lineRule="exact"/>
        <w:ind w:left="960"/>
        <w:rPr>
          <w:rFonts w:eastAsia="仿宋_GB2312"/>
          <w:sz w:val="30"/>
          <w:szCs w:val="30"/>
        </w:rPr>
      </w:pPr>
      <w:r>
        <w:rPr>
          <w:rFonts w:eastAsia="仿宋_GB2312"/>
          <w:sz w:val="30"/>
          <w:szCs w:val="30"/>
        </w:rPr>
        <w:t>1.评估工作日程安排；</w:t>
      </w:r>
    </w:p>
    <w:p>
      <w:pPr>
        <w:adjustRightInd w:val="0"/>
        <w:snapToGrid w:val="0"/>
        <w:spacing w:line="520" w:lineRule="exact"/>
        <w:ind w:left="960"/>
        <w:rPr>
          <w:rFonts w:eastAsia="仿宋_GB2312"/>
          <w:sz w:val="30"/>
          <w:szCs w:val="30"/>
        </w:rPr>
      </w:pPr>
      <w:r>
        <w:rPr>
          <w:rFonts w:eastAsia="仿宋_GB2312"/>
          <w:sz w:val="30"/>
          <w:szCs w:val="30"/>
        </w:rPr>
        <w:t>2.专家预审意见表（表1）；</w:t>
      </w:r>
    </w:p>
    <w:p>
      <w:pPr>
        <w:adjustRightInd w:val="0"/>
        <w:snapToGrid w:val="0"/>
        <w:spacing w:line="520" w:lineRule="exact"/>
        <w:ind w:left="960"/>
        <w:rPr>
          <w:rFonts w:eastAsia="仿宋_GB2312"/>
          <w:sz w:val="30"/>
          <w:szCs w:val="30"/>
        </w:rPr>
      </w:pPr>
      <w:r>
        <w:rPr>
          <w:rFonts w:eastAsia="仿宋_GB2312"/>
          <w:sz w:val="30"/>
          <w:szCs w:val="30"/>
        </w:rPr>
        <w:t>3.专家个人工作日程安排表（表2）；</w:t>
      </w:r>
    </w:p>
    <w:p>
      <w:pPr>
        <w:adjustRightInd w:val="0"/>
        <w:snapToGrid w:val="0"/>
        <w:spacing w:line="520" w:lineRule="exact"/>
        <w:ind w:left="960"/>
        <w:rPr>
          <w:rFonts w:eastAsia="仿宋_GB2312"/>
          <w:sz w:val="30"/>
          <w:szCs w:val="30"/>
        </w:rPr>
      </w:pPr>
      <w:r>
        <w:rPr>
          <w:rFonts w:eastAsia="仿宋_GB2312"/>
          <w:sz w:val="30"/>
          <w:szCs w:val="30"/>
        </w:rPr>
        <w:t>4.专家深度访谈记录表（表3）；</w:t>
      </w:r>
    </w:p>
    <w:p>
      <w:pPr>
        <w:adjustRightInd w:val="0"/>
        <w:snapToGrid w:val="0"/>
        <w:spacing w:line="520" w:lineRule="exact"/>
        <w:ind w:left="960"/>
        <w:rPr>
          <w:rFonts w:eastAsia="仿宋_GB2312"/>
          <w:sz w:val="30"/>
          <w:szCs w:val="30"/>
        </w:rPr>
      </w:pPr>
      <w:r>
        <w:rPr>
          <w:rFonts w:eastAsia="仿宋_GB2312"/>
          <w:sz w:val="30"/>
          <w:szCs w:val="30"/>
        </w:rPr>
        <w:t>5.专业剖析情况汇总表（表4）；</w:t>
      </w:r>
    </w:p>
    <w:p>
      <w:pPr>
        <w:adjustRightInd w:val="0"/>
        <w:snapToGrid w:val="0"/>
        <w:spacing w:line="520" w:lineRule="exact"/>
        <w:ind w:left="960"/>
        <w:rPr>
          <w:rFonts w:eastAsia="仿宋_GB2312"/>
          <w:sz w:val="30"/>
          <w:szCs w:val="30"/>
        </w:rPr>
      </w:pPr>
      <w:r>
        <w:rPr>
          <w:rFonts w:eastAsia="仿宋_GB2312"/>
          <w:sz w:val="30"/>
          <w:szCs w:val="30"/>
        </w:rPr>
        <w:t>6.课程标准解读情况汇总表（表5）；</w:t>
      </w:r>
    </w:p>
    <w:p>
      <w:pPr>
        <w:adjustRightInd w:val="0"/>
        <w:snapToGrid w:val="0"/>
        <w:spacing w:line="520" w:lineRule="exact"/>
        <w:ind w:left="960"/>
        <w:rPr>
          <w:rFonts w:eastAsia="仿宋_GB2312"/>
          <w:sz w:val="30"/>
          <w:szCs w:val="30"/>
        </w:rPr>
      </w:pPr>
      <w:r>
        <w:rPr>
          <w:rFonts w:eastAsia="仿宋_GB2312"/>
          <w:sz w:val="30"/>
          <w:szCs w:val="30"/>
        </w:rPr>
        <w:t>7.说课（听课）记录表（表6）；</w:t>
      </w:r>
    </w:p>
    <w:p>
      <w:pPr>
        <w:adjustRightInd w:val="0"/>
        <w:snapToGrid w:val="0"/>
        <w:spacing w:line="520" w:lineRule="exact"/>
        <w:ind w:left="960"/>
        <w:rPr>
          <w:rFonts w:eastAsia="仿宋_GB2312"/>
          <w:sz w:val="30"/>
          <w:szCs w:val="30"/>
        </w:rPr>
      </w:pPr>
      <w:r>
        <w:rPr>
          <w:rFonts w:eastAsia="仿宋_GB2312"/>
          <w:sz w:val="30"/>
          <w:szCs w:val="30"/>
        </w:rPr>
        <w:t>8.专家个人考察意见表（表7）；</w:t>
      </w:r>
    </w:p>
    <w:p>
      <w:pPr>
        <w:adjustRightInd w:val="0"/>
        <w:snapToGrid w:val="0"/>
        <w:spacing w:line="520" w:lineRule="exact"/>
        <w:ind w:left="960"/>
        <w:rPr>
          <w:rFonts w:eastAsia="仿宋_GB2312"/>
          <w:sz w:val="30"/>
          <w:szCs w:val="30"/>
        </w:rPr>
      </w:pPr>
      <w:r>
        <w:rPr>
          <w:rFonts w:eastAsia="仿宋_GB2312"/>
          <w:sz w:val="30"/>
          <w:szCs w:val="30"/>
        </w:rPr>
        <w:t>9.专家组表决结果汇总表（表8）；</w:t>
      </w:r>
    </w:p>
    <w:p>
      <w:pPr>
        <w:adjustRightInd w:val="0"/>
        <w:snapToGrid w:val="0"/>
        <w:spacing w:line="520" w:lineRule="exact"/>
        <w:ind w:left="960"/>
        <w:rPr>
          <w:rFonts w:eastAsia="仿宋_GB2312"/>
          <w:sz w:val="30"/>
          <w:szCs w:val="30"/>
        </w:rPr>
      </w:pPr>
      <w:r>
        <w:rPr>
          <w:rFonts w:eastAsia="仿宋_GB2312"/>
          <w:sz w:val="30"/>
          <w:szCs w:val="30"/>
        </w:rPr>
        <w:t>10.专家考察评估反馈考察意见、评估报告；</w:t>
      </w:r>
    </w:p>
    <w:p>
      <w:pPr>
        <w:adjustRightInd w:val="0"/>
        <w:snapToGrid w:val="0"/>
        <w:spacing w:line="520" w:lineRule="exact"/>
        <w:ind w:left="960"/>
        <w:rPr>
          <w:rFonts w:eastAsia="仿宋_GB2312"/>
          <w:sz w:val="30"/>
          <w:szCs w:val="30"/>
        </w:rPr>
      </w:pPr>
      <w:r>
        <w:rPr>
          <w:rFonts w:eastAsia="仿宋_GB2312"/>
          <w:sz w:val="30"/>
          <w:szCs w:val="30"/>
        </w:rPr>
        <w:t>11.被评院校自评报告。</w:t>
      </w:r>
    </w:p>
    <w:p>
      <w:pPr>
        <w:adjustRightInd w:val="0"/>
        <w:snapToGrid w:val="0"/>
        <w:spacing w:line="360" w:lineRule="auto"/>
        <w:ind w:firstLine="562"/>
        <w:jc w:val="center"/>
        <w:rPr>
          <w:rFonts w:eastAsia="黑体"/>
          <w:b/>
          <w:sz w:val="28"/>
          <w:szCs w:val="28"/>
        </w:rPr>
      </w:pPr>
      <w:r>
        <w:rPr>
          <w:rFonts w:eastAsia="仿宋_GB2312"/>
          <w:sz w:val="30"/>
          <w:szCs w:val="30"/>
        </w:rPr>
        <w:br w:type="page"/>
      </w:r>
      <w:r>
        <w:rPr>
          <w:rFonts w:eastAsia="黑体"/>
          <w:b/>
          <w:sz w:val="28"/>
          <w:szCs w:val="28"/>
        </w:rPr>
        <w:t>表1  专家评估预审表</w:t>
      </w:r>
    </w:p>
    <w:tbl>
      <w:tblPr>
        <w:tblStyle w:val="6"/>
        <w:tblpPr w:leftFromText="180" w:rightFromText="180" w:vertAnchor="text" w:tblpXSpec="center" w:tblpY="1"/>
        <w:tblOverlap w:val="never"/>
        <w:tblW w:w="76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519"/>
        <w:gridCol w:w="3187"/>
        <w:gridCol w:w="851"/>
        <w:gridCol w:w="1134"/>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blHeader/>
        </w:trPr>
        <w:tc>
          <w:tcPr>
            <w:tcW w:w="1519" w:type="dxa"/>
            <w:vAlign w:val="center"/>
          </w:tcPr>
          <w:p>
            <w:pPr>
              <w:adjustRightInd w:val="0"/>
              <w:snapToGrid w:val="0"/>
              <w:spacing w:line="260" w:lineRule="exact"/>
              <w:jc w:val="center"/>
              <w:rPr>
                <w:b/>
                <w:szCs w:val="21"/>
              </w:rPr>
            </w:pPr>
            <w:r>
              <w:rPr>
                <w:b/>
                <w:sz w:val="24"/>
                <w:szCs w:val="21"/>
              </w:rPr>
              <w:t>学校名称</w:t>
            </w:r>
          </w:p>
        </w:tc>
        <w:tc>
          <w:tcPr>
            <w:tcW w:w="6164" w:type="dxa"/>
            <w:gridSpan w:val="4"/>
            <w:vAlign w:val="center"/>
          </w:tcPr>
          <w:p>
            <w:pPr>
              <w:adjustRightInd w:val="0"/>
              <w:snapToGrid w:val="0"/>
              <w:spacing w:line="260" w:lineRule="exact"/>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blHeader/>
        </w:trPr>
        <w:tc>
          <w:tcPr>
            <w:tcW w:w="1519" w:type="dxa"/>
            <w:vAlign w:val="center"/>
          </w:tcPr>
          <w:p>
            <w:pPr>
              <w:adjustRightInd w:val="0"/>
              <w:snapToGrid w:val="0"/>
              <w:spacing w:line="260" w:lineRule="exact"/>
              <w:jc w:val="center"/>
              <w:rPr>
                <w:b/>
                <w:szCs w:val="21"/>
              </w:rPr>
            </w:pPr>
            <w:r>
              <w:rPr>
                <w:b/>
                <w:szCs w:val="21"/>
              </w:rPr>
              <w:t>主要评估指标</w:t>
            </w:r>
          </w:p>
        </w:tc>
        <w:tc>
          <w:tcPr>
            <w:tcW w:w="3187" w:type="dxa"/>
            <w:vAlign w:val="center"/>
          </w:tcPr>
          <w:p>
            <w:pPr>
              <w:adjustRightInd w:val="0"/>
              <w:snapToGrid w:val="0"/>
              <w:spacing w:line="260" w:lineRule="exact"/>
              <w:jc w:val="center"/>
              <w:rPr>
                <w:b/>
                <w:szCs w:val="21"/>
              </w:rPr>
            </w:pPr>
            <w:r>
              <w:rPr>
                <w:b/>
                <w:szCs w:val="21"/>
              </w:rPr>
              <w:t>关键评估要素</w:t>
            </w:r>
          </w:p>
        </w:tc>
        <w:tc>
          <w:tcPr>
            <w:tcW w:w="851" w:type="dxa"/>
            <w:vAlign w:val="center"/>
          </w:tcPr>
          <w:p>
            <w:pPr>
              <w:widowControl/>
              <w:adjustRightInd w:val="0"/>
              <w:snapToGrid w:val="0"/>
              <w:jc w:val="center"/>
              <w:rPr>
                <w:b/>
                <w:kern w:val="0"/>
                <w:szCs w:val="21"/>
              </w:rPr>
            </w:pPr>
            <w:r>
              <w:rPr>
                <w:b/>
                <w:kern w:val="0"/>
                <w:szCs w:val="21"/>
              </w:rPr>
              <w:t>奇异点</w:t>
            </w:r>
          </w:p>
        </w:tc>
        <w:tc>
          <w:tcPr>
            <w:tcW w:w="1134" w:type="dxa"/>
            <w:tcBorders>
              <w:bottom w:val="single" w:color="auto" w:sz="4" w:space="0"/>
            </w:tcBorders>
            <w:vAlign w:val="center"/>
          </w:tcPr>
          <w:p>
            <w:pPr>
              <w:adjustRightInd w:val="0"/>
              <w:snapToGrid w:val="0"/>
              <w:spacing w:line="360" w:lineRule="auto"/>
              <w:jc w:val="center"/>
              <w:rPr>
                <w:b/>
                <w:szCs w:val="21"/>
              </w:rPr>
            </w:pPr>
            <w:r>
              <w:rPr>
                <w:b/>
                <w:szCs w:val="21"/>
              </w:rPr>
              <w:t>原因初步</w:t>
            </w:r>
          </w:p>
          <w:p>
            <w:pPr>
              <w:adjustRightInd w:val="0"/>
              <w:snapToGrid w:val="0"/>
              <w:spacing w:line="360" w:lineRule="auto"/>
              <w:jc w:val="center"/>
              <w:rPr>
                <w:b/>
                <w:szCs w:val="21"/>
              </w:rPr>
            </w:pPr>
            <w:r>
              <w:rPr>
                <w:b/>
                <w:szCs w:val="21"/>
              </w:rPr>
              <w:t>分    析</w:t>
            </w:r>
          </w:p>
        </w:tc>
        <w:tc>
          <w:tcPr>
            <w:tcW w:w="992" w:type="dxa"/>
            <w:tcBorders>
              <w:bottom w:val="single" w:color="auto" w:sz="4" w:space="0"/>
            </w:tcBorders>
            <w:vAlign w:val="center"/>
          </w:tcPr>
          <w:p>
            <w:pPr>
              <w:adjustRightInd w:val="0"/>
              <w:snapToGrid w:val="0"/>
              <w:spacing w:line="260" w:lineRule="exact"/>
              <w:jc w:val="center"/>
              <w:rPr>
                <w:b/>
                <w:szCs w:val="21"/>
              </w:rPr>
            </w:pPr>
            <w:r>
              <w:rPr>
                <w:b/>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restart"/>
            <w:vAlign w:val="center"/>
          </w:tcPr>
          <w:p>
            <w:pPr>
              <w:widowControl/>
              <w:adjustRightInd w:val="0"/>
              <w:snapToGrid w:val="0"/>
              <w:rPr>
                <w:b/>
                <w:bCs/>
                <w:kern w:val="0"/>
                <w:sz w:val="24"/>
              </w:rPr>
            </w:pPr>
            <w:r>
              <w:rPr>
                <w:b/>
                <w:bCs/>
                <w:kern w:val="0"/>
                <w:sz w:val="24"/>
              </w:rPr>
              <w:t>1.办学思路</w:t>
            </w:r>
          </w:p>
        </w:tc>
        <w:tc>
          <w:tcPr>
            <w:tcW w:w="3187" w:type="dxa"/>
            <w:vAlign w:val="center"/>
          </w:tcPr>
          <w:p>
            <w:pPr>
              <w:adjustRightInd w:val="0"/>
              <w:snapToGrid w:val="0"/>
              <w:spacing w:line="300" w:lineRule="exact"/>
              <w:rPr>
                <w:sz w:val="24"/>
                <w:szCs w:val="21"/>
              </w:rPr>
            </w:pPr>
            <w:r>
              <w:rPr>
                <w:sz w:val="24"/>
                <w:szCs w:val="21"/>
              </w:rPr>
              <w:t>1.1办学定位</w:t>
            </w:r>
          </w:p>
        </w:tc>
        <w:tc>
          <w:tcPr>
            <w:tcW w:w="851" w:type="dxa"/>
            <w:tcBorders>
              <w:bottom w:val="single" w:color="auto" w:sz="4" w:space="0"/>
            </w:tcBorders>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vAlign w:val="center"/>
          </w:tcPr>
          <w:p>
            <w:pPr>
              <w:adjustRightInd w:val="0"/>
              <w:snapToGrid w:val="0"/>
              <w:spacing w:line="260" w:lineRule="exact"/>
              <w:ind w:firstLine="454"/>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widowControl/>
              <w:adjustRightInd w:val="0"/>
              <w:snapToGrid w:val="0"/>
              <w:spacing w:before="100" w:beforeAutospacing="1" w:after="100" w:afterAutospacing="1"/>
              <w:rPr>
                <w:sz w:val="24"/>
                <w:szCs w:val="21"/>
              </w:rPr>
            </w:pPr>
            <w:r>
              <w:rPr>
                <w:sz w:val="24"/>
                <w:szCs w:val="21"/>
              </w:rPr>
              <w:t>1.2 内部治理</w:t>
            </w:r>
          </w:p>
        </w:tc>
        <w:tc>
          <w:tcPr>
            <w:tcW w:w="851" w:type="dxa"/>
            <w:tcBorders>
              <w:top w:val="single" w:color="auto" w:sz="4" w:space="0"/>
            </w:tcBorders>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widowControl/>
              <w:adjustRightInd w:val="0"/>
              <w:snapToGrid w:val="0"/>
              <w:spacing w:before="100" w:beforeAutospacing="1" w:after="100" w:afterAutospacing="1"/>
              <w:rPr>
                <w:sz w:val="24"/>
                <w:szCs w:val="21"/>
              </w:rPr>
            </w:pPr>
            <w:r>
              <w:rPr>
                <w:sz w:val="24"/>
                <w:szCs w:val="21"/>
              </w:rPr>
              <w:t>1.3事业发展规划</w:t>
            </w:r>
          </w:p>
        </w:tc>
        <w:tc>
          <w:tcPr>
            <w:tcW w:w="851" w:type="dxa"/>
            <w:tcBorders>
              <w:bottom w:val="single" w:color="auto" w:sz="4" w:space="0"/>
            </w:tcBorders>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tcBorders>
              <w:bottom w:val="single" w:color="auto" w:sz="4" w:space="0"/>
            </w:tcBorders>
            <w:vAlign w:val="center"/>
          </w:tcPr>
          <w:p>
            <w:pPr>
              <w:widowControl/>
              <w:adjustRightInd w:val="0"/>
              <w:snapToGrid w:val="0"/>
              <w:spacing w:before="100" w:beforeAutospacing="1" w:after="100" w:afterAutospacing="1"/>
              <w:rPr>
                <w:sz w:val="24"/>
                <w:szCs w:val="21"/>
              </w:rPr>
            </w:pPr>
            <w:r>
              <w:rPr>
                <w:sz w:val="24"/>
                <w:szCs w:val="21"/>
              </w:rPr>
              <w:t>1.4 立德树人理念</w:t>
            </w:r>
          </w:p>
        </w:tc>
        <w:tc>
          <w:tcPr>
            <w:tcW w:w="851" w:type="dxa"/>
            <w:tcBorders>
              <w:top w:val="single" w:color="auto" w:sz="4" w:space="0"/>
            </w:tcBorders>
            <w:vAlign w:val="center"/>
          </w:tcPr>
          <w:p>
            <w:pPr>
              <w:adjustRightInd w:val="0"/>
              <w:snapToGrid w:val="0"/>
              <w:spacing w:line="260" w:lineRule="exact"/>
              <w:ind w:firstLine="454"/>
              <w:rPr>
                <w:szCs w:val="21"/>
              </w:rPr>
            </w:pPr>
          </w:p>
        </w:tc>
        <w:tc>
          <w:tcPr>
            <w:tcW w:w="1134" w:type="dxa"/>
            <w:tcBorders>
              <w:bottom w:val="single" w:color="auto" w:sz="4" w:space="0"/>
            </w:tcBorders>
            <w:vAlign w:val="center"/>
          </w:tcPr>
          <w:p>
            <w:pPr>
              <w:adjustRightInd w:val="0"/>
              <w:snapToGrid w:val="0"/>
              <w:spacing w:line="260" w:lineRule="exact"/>
              <w:ind w:firstLine="454"/>
              <w:rPr>
                <w:szCs w:val="21"/>
              </w:rPr>
            </w:pPr>
          </w:p>
        </w:tc>
        <w:tc>
          <w:tcPr>
            <w:tcW w:w="992" w:type="dxa"/>
            <w:tcBorders>
              <w:bottom w:val="single" w:color="auto" w:sz="4" w:space="0"/>
            </w:tcBorders>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restart"/>
            <w:vAlign w:val="center"/>
          </w:tcPr>
          <w:p>
            <w:pPr>
              <w:widowControl/>
              <w:adjustRightInd w:val="0"/>
              <w:snapToGrid w:val="0"/>
              <w:rPr>
                <w:b/>
                <w:bCs/>
                <w:kern w:val="0"/>
                <w:sz w:val="24"/>
              </w:rPr>
            </w:pPr>
            <w:r>
              <w:rPr>
                <w:b/>
                <w:bCs/>
                <w:kern w:val="0"/>
                <w:sz w:val="24"/>
              </w:rPr>
              <w:t>2.师资队伍</w:t>
            </w:r>
          </w:p>
        </w:tc>
        <w:tc>
          <w:tcPr>
            <w:tcW w:w="3187" w:type="dxa"/>
            <w:tcBorders>
              <w:top w:val="single" w:color="auto" w:sz="4" w:space="0"/>
              <w:bottom w:val="single" w:color="auto" w:sz="4" w:space="0"/>
            </w:tcBorders>
            <w:vAlign w:val="center"/>
          </w:tcPr>
          <w:p>
            <w:pPr>
              <w:adjustRightInd w:val="0"/>
              <w:snapToGrid w:val="0"/>
              <w:spacing w:line="300" w:lineRule="exact"/>
              <w:rPr>
                <w:sz w:val="24"/>
                <w:szCs w:val="21"/>
              </w:rPr>
            </w:pPr>
            <w:r>
              <w:rPr>
                <w:sz w:val="24"/>
                <w:szCs w:val="21"/>
              </w:rPr>
              <w:t>2.1专任教师</w:t>
            </w:r>
          </w:p>
        </w:tc>
        <w:tc>
          <w:tcPr>
            <w:tcW w:w="851" w:type="dxa"/>
            <w:vAlign w:val="center"/>
          </w:tcPr>
          <w:p>
            <w:pPr>
              <w:adjustRightInd w:val="0"/>
              <w:snapToGrid w:val="0"/>
              <w:spacing w:line="260" w:lineRule="exact"/>
              <w:ind w:firstLine="454"/>
              <w:rPr>
                <w:szCs w:val="21"/>
              </w:rPr>
            </w:pPr>
          </w:p>
        </w:tc>
        <w:tc>
          <w:tcPr>
            <w:tcW w:w="1134" w:type="dxa"/>
            <w:tcBorders>
              <w:bottom w:val="single" w:color="auto" w:sz="4" w:space="0"/>
            </w:tcBorders>
            <w:vAlign w:val="center"/>
          </w:tcPr>
          <w:p>
            <w:pPr>
              <w:adjustRightInd w:val="0"/>
              <w:snapToGrid w:val="0"/>
              <w:spacing w:line="260" w:lineRule="exact"/>
              <w:ind w:firstLine="454"/>
              <w:rPr>
                <w:szCs w:val="21"/>
              </w:rPr>
            </w:pPr>
          </w:p>
        </w:tc>
        <w:tc>
          <w:tcPr>
            <w:tcW w:w="992" w:type="dxa"/>
            <w:tcBorders>
              <w:bottom w:val="single" w:color="auto" w:sz="4" w:space="0"/>
            </w:tcBorders>
            <w:vAlign w:val="center"/>
          </w:tcPr>
          <w:p>
            <w:pPr>
              <w:adjustRightInd w:val="0"/>
              <w:snapToGrid w:val="0"/>
              <w:spacing w:line="260" w:lineRule="exact"/>
              <w:ind w:firstLine="454"/>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tcBorders>
              <w:top w:val="single" w:color="auto" w:sz="4" w:space="0"/>
            </w:tcBorders>
            <w:vAlign w:val="center"/>
          </w:tcPr>
          <w:p>
            <w:pPr>
              <w:adjustRightInd w:val="0"/>
              <w:snapToGrid w:val="0"/>
              <w:spacing w:line="300" w:lineRule="exact"/>
              <w:rPr>
                <w:sz w:val="24"/>
                <w:szCs w:val="21"/>
              </w:rPr>
            </w:pPr>
            <w:r>
              <w:rPr>
                <w:sz w:val="24"/>
                <w:szCs w:val="21"/>
              </w:rPr>
              <w:t>2.2兼职教师</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00" w:lineRule="exact"/>
              <w:rPr>
                <w:sz w:val="24"/>
                <w:szCs w:val="21"/>
              </w:rPr>
            </w:pPr>
            <w:r>
              <w:rPr>
                <w:sz w:val="24"/>
                <w:szCs w:val="21"/>
              </w:rPr>
              <w:t>2.3教师培养与发展</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restart"/>
            <w:vAlign w:val="center"/>
          </w:tcPr>
          <w:p>
            <w:pPr>
              <w:widowControl/>
              <w:adjustRightInd w:val="0"/>
              <w:snapToGrid w:val="0"/>
              <w:rPr>
                <w:b/>
                <w:bCs/>
                <w:kern w:val="0"/>
                <w:sz w:val="24"/>
              </w:rPr>
            </w:pPr>
            <w:r>
              <w:rPr>
                <w:b/>
                <w:bCs/>
                <w:kern w:val="0"/>
                <w:sz w:val="24"/>
              </w:rPr>
              <w:t>3.教学条件</w:t>
            </w:r>
          </w:p>
        </w:tc>
        <w:tc>
          <w:tcPr>
            <w:tcW w:w="3187" w:type="dxa"/>
            <w:vAlign w:val="center"/>
          </w:tcPr>
          <w:p>
            <w:pPr>
              <w:adjustRightInd w:val="0"/>
              <w:snapToGrid w:val="0"/>
              <w:spacing w:line="320" w:lineRule="exact"/>
              <w:rPr>
                <w:kern w:val="0"/>
                <w:sz w:val="24"/>
                <w:szCs w:val="21"/>
              </w:rPr>
            </w:pPr>
            <w:r>
              <w:rPr>
                <w:kern w:val="0"/>
                <w:sz w:val="24"/>
                <w:szCs w:val="21"/>
              </w:rPr>
              <w:t>3.1校内实训条件建设</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vAlign w:val="center"/>
          </w:tcPr>
          <w:p>
            <w:pPr>
              <w:adjustRightInd w:val="0"/>
              <w:snapToGrid w:val="0"/>
              <w:spacing w:line="260" w:lineRule="exact"/>
              <w:ind w:firstLine="454"/>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3.2校外实习条件建设</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3.3经费保障</w:t>
            </w:r>
          </w:p>
        </w:tc>
        <w:tc>
          <w:tcPr>
            <w:tcW w:w="851" w:type="dxa"/>
            <w:vAlign w:val="center"/>
          </w:tcPr>
          <w:p>
            <w:pPr>
              <w:adjustRightInd w:val="0"/>
              <w:snapToGrid w:val="0"/>
              <w:spacing w:line="260" w:lineRule="exact"/>
              <w:ind w:firstLine="454"/>
              <w:rPr>
                <w:szCs w:val="21"/>
              </w:rPr>
            </w:pPr>
          </w:p>
        </w:tc>
        <w:tc>
          <w:tcPr>
            <w:tcW w:w="1134" w:type="dxa"/>
            <w:tcBorders>
              <w:bottom w:val="single" w:color="auto" w:sz="4" w:space="0"/>
            </w:tcBorders>
            <w:vAlign w:val="center"/>
          </w:tcPr>
          <w:p>
            <w:pPr>
              <w:adjustRightInd w:val="0"/>
              <w:snapToGrid w:val="0"/>
              <w:spacing w:line="260" w:lineRule="exact"/>
              <w:ind w:firstLine="454"/>
              <w:rPr>
                <w:szCs w:val="21"/>
              </w:rPr>
            </w:pPr>
          </w:p>
        </w:tc>
        <w:tc>
          <w:tcPr>
            <w:tcW w:w="992" w:type="dxa"/>
            <w:tcBorders>
              <w:bottom w:val="single" w:color="auto" w:sz="4" w:space="0"/>
            </w:tcBorders>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restart"/>
            <w:vAlign w:val="center"/>
          </w:tcPr>
          <w:p>
            <w:pPr>
              <w:widowControl/>
              <w:adjustRightInd w:val="0"/>
              <w:snapToGrid w:val="0"/>
              <w:rPr>
                <w:b/>
                <w:bCs/>
                <w:kern w:val="0"/>
                <w:sz w:val="24"/>
              </w:rPr>
            </w:pPr>
            <w:r>
              <w:rPr>
                <w:b/>
                <w:bCs/>
                <w:kern w:val="0"/>
                <w:sz w:val="24"/>
              </w:rPr>
              <w:t>4.专业建设</w:t>
            </w:r>
          </w:p>
        </w:tc>
        <w:tc>
          <w:tcPr>
            <w:tcW w:w="3187" w:type="dxa"/>
            <w:vAlign w:val="center"/>
          </w:tcPr>
          <w:p>
            <w:pPr>
              <w:adjustRightInd w:val="0"/>
              <w:snapToGrid w:val="0"/>
              <w:spacing w:line="320" w:lineRule="exact"/>
              <w:rPr>
                <w:kern w:val="0"/>
                <w:sz w:val="24"/>
                <w:szCs w:val="21"/>
              </w:rPr>
            </w:pPr>
            <w:r>
              <w:rPr>
                <w:kern w:val="0"/>
                <w:sz w:val="24"/>
                <w:szCs w:val="21"/>
              </w:rPr>
              <w:t>4.1校企合作体制机制建设</w:t>
            </w:r>
          </w:p>
        </w:tc>
        <w:tc>
          <w:tcPr>
            <w:tcW w:w="851" w:type="dxa"/>
            <w:vAlign w:val="center"/>
          </w:tcPr>
          <w:p>
            <w:pPr>
              <w:widowControl/>
              <w:adjustRightInd w:val="0"/>
              <w:snapToGrid w:val="0"/>
              <w:spacing w:line="260" w:lineRule="exact"/>
              <w:ind w:firstLine="454"/>
              <w:rPr>
                <w:szCs w:val="21"/>
              </w:rPr>
            </w:pPr>
          </w:p>
        </w:tc>
        <w:tc>
          <w:tcPr>
            <w:tcW w:w="1134" w:type="dxa"/>
            <w:vAlign w:val="center"/>
          </w:tcPr>
          <w:p>
            <w:pPr>
              <w:widowControl/>
              <w:adjustRightInd w:val="0"/>
              <w:snapToGrid w:val="0"/>
              <w:spacing w:line="260" w:lineRule="exact"/>
              <w:ind w:firstLine="454"/>
              <w:rPr>
                <w:szCs w:val="21"/>
              </w:rPr>
            </w:pPr>
          </w:p>
        </w:tc>
        <w:tc>
          <w:tcPr>
            <w:tcW w:w="992" w:type="dxa"/>
            <w:vAlign w:val="center"/>
          </w:tcPr>
          <w:p>
            <w:pPr>
              <w:adjustRightInd w:val="0"/>
              <w:snapToGrid w:val="0"/>
              <w:spacing w:line="260" w:lineRule="exact"/>
              <w:ind w:firstLine="454"/>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4.2专业设置（调整）</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4.3人才培养模式与方案</w:t>
            </w:r>
          </w:p>
        </w:tc>
        <w:tc>
          <w:tcPr>
            <w:tcW w:w="851" w:type="dxa"/>
            <w:vAlign w:val="center"/>
          </w:tcPr>
          <w:p>
            <w:pPr>
              <w:widowControl/>
              <w:adjustRightInd w:val="0"/>
              <w:snapToGrid w:val="0"/>
              <w:spacing w:line="260" w:lineRule="exact"/>
              <w:ind w:firstLine="454"/>
              <w:rPr>
                <w:szCs w:val="21"/>
              </w:rPr>
            </w:pPr>
          </w:p>
        </w:tc>
        <w:tc>
          <w:tcPr>
            <w:tcW w:w="1134" w:type="dxa"/>
            <w:vAlign w:val="center"/>
          </w:tcPr>
          <w:p>
            <w:pPr>
              <w:widowControl/>
              <w:adjustRightInd w:val="0"/>
              <w:snapToGrid w:val="0"/>
              <w:spacing w:line="260" w:lineRule="exact"/>
              <w:ind w:firstLine="454"/>
              <w:rPr>
                <w:szCs w:val="21"/>
              </w:rPr>
            </w:pPr>
          </w:p>
        </w:tc>
        <w:tc>
          <w:tcPr>
            <w:tcW w:w="992" w:type="dxa"/>
          </w:tcPr>
          <w:p>
            <w:pPr>
              <w:widowControl/>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4.4课程建设</w:t>
            </w:r>
          </w:p>
        </w:tc>
        <w:tc>
          <w:tcPr>
            <w:tcW w:w="851" w:type="dxa"/>
            <w:vAlign w:val="center"/>
          </w:tcPr>
          <w:p>
            <w:pPr>
              <w:widowControl/>
              <w:adjustRightInd w:val="0"/>
              <w:snapToGrid w:val="0"/>
              <w:spacing w:line="260" w:lineRule="exact"/>
              <w:ind w:firstLine="454"/>
              <w:jc w:val="left"/>
              <w:rPr>
                <w:szCs w:val="21"/>
              </w:rPr>
            </w:pPr>
          </w:p>
        </w:tc>
        <w:tc>
          <w:tcPr>
            <w:tcW w:w="1134" w:type="dxa"/>
            <w:vAlign w:val="center"/>
          </w:tcPr>
          <w:p>
            <w:pPr>
              <w:widowControl/>
              <w:adjustRightInd w:val="0"/>
              <w:snapToGrid w:val="0"/>
              <w:spacing w:line="260" w:lineRule="exact"/>
              <w:ind w:firstLine="454"/>
              <w:jc w:val="left"/>
              <w:rPr>
                <w:szCs w:val="21"/>
              </w:rPr>
            </w:pPr>
          </w:p>
        </w:tc>
        <w:tc>
          <w:tcPr>
            <w:tcW w:w="992" w:type="dxa"/>
          </w:tcPr>
          <w:p>
            <w:pPr>
              <w:widowControl/>
              <w:adjustRightInd w:val="0"/>
              <w:snapToGrid w:val="0"/>
              <w:spacing w:line="260" w:lineRule="exact"/>
              <w:ind w:firstLine="454"/>
              <w:jc w:val="left"/>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4.5教学方法与手段</w:t>
            </w:r>
          </w:p>
        </w:tc>
        <w:tc>
          <w:tcPr>
            <w:tcW w:w="851" w:type="dxa"/>
            <w:vAlign w:val="center"/>
          </w:tcPr>
          <w:p>
            <w:pPr>
              <w:widowControl/>
              <w:adjustRightInd w:val="0"/>
              <w:snapToGrid w:val="0"/>
              <w:spacing w:line="260" w:lineRule="exact"/>
              <w:ind w:firstLine="454"/>
              <w:jc w:val="left"/>
              <w:rPr>
                <w:szCs w:val="21"/>
              </w:rPr>
            </w:pPr>
          </w:p>
        </w:tc>
        <w:tc>
          <w:tcPr>
            <w:tcW w:w="1134" w:type="dxa"/>
            <w:vAlign w:val="center"/>
          </w:tcPr>
          <w:p>
            <w:pPr>
              <w:widowControl/>
              <w:adjustRightInd w:val="0"/>
              <w:snapToGrid w:val="0"/>
              <w:spacing w:line="260" w:lineRule="exact"/>
              <w:ind w:firstLine="454"/>
              <w:jc w:val="left"/>
              <w:rPr>
                <w:szCs w:val="21"/>
              </w:rPr>
            </w:pPr>
          </w:p>
        </w:tc>
        <w:tc>
          <w:tcPr>
            <w:tcW w:w="992" w:type="dxa"/>
          </w:tcPr>
          <w:p>
            <w:pPr>
              <w:widowControl/>
              <w:adjustRightInd w:val="0"/>
              <w:snapToGrid w:val="0"/>
              <w:spacing w:line="260" w:lineRule="exact"/>
              <w:ind w:firstLine="454"/>
              <w:jc w:val="left"/>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4.6实践教学</w:t>
            </w:r>
          </w:p>
        </w:tc>
        <w:tc>
          <w:tcPr>
            <w:tcW w:w="851" w:type="dxa"/>
            <w:vAlign w:val="center"/>
          </w:tcPr>
          <w:p>
            <w:pPr>
              <w:widowControl/>
              <w:adjustRightInd w:val="0"/>
              <w:snapToGrid w:val="0"/>
              <w:spacing w:line="260" w:lineRule="exact"/>
              <w:ind w:firstLine="454"/>
              <w:jc w:val="left"/>
              <w:rPr>
                <w:szCs w:val="21"/>
              </w:rPr>
            </w:pPr>
          </w:p>
        </w:tc>
        <w:tc>
          <w:tcPr>
            <w:tcW w:w="1134" w:type="dxa"/>
            <w:vAlign w:val="center"/>
          </w:tcPr>
          <w:p>
            <w:pPr>
              <w:widowControl/>
              <w:adjustRightInd w:val="0"/>
              <w:snapToGrid w:val="0"/>
              <w:spacing w:line="260" w:lineRule="exact"/>
              <w:ind w:firstLine="454"/>
              <w:jc w:val="left"/>
              <w:rPr>
                <w:szCs w:val="21"/>
              </w:rPr>
            </w:pPr>
          </w:p>
        </w:tc>
        <w:tc>
          <w:tcPr>
            <w:tcW w:w="992" w:type="dxa"/>
          </w:tcPr>
          <w:p>
            <w:pPr>
              <w:widowControl/>
              <w:adjustRightInd w:val="0"/>
              <w:snapToGrid w:val="0"/>
              <w:spacing w:line="260" w:lineRule="exact"/>
              <w:ind w:firstLine="454"/>
              <w:jc w:val="left"/>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restart"/>
            <w:vAlign w:val="center"/>
          </w:tcPr>
          <w:p>
            <w:pPr>
              <w:widowControl/>
              <w:adjustRightInd w:val="0"/>
              <w:snapToGrid w:val="0"/>
              <w:rPr>
                <w:kern w:val="0"/>
                <w:sz w:val="24"/>
              </w:rPr>
            </w:pPr>
            <w:r>
              <w:rPr>
                <w:b/>
                <w:bCs/>
                <w:kern w:val="0"/>
                <w:sz w:val="24"/>
              </w:rPr>
              <w:t>5．学生教育管理与服务</w:t>
            </w:r>
          </w:p>
        </w:tc>
        <w:tc>
          <w:tcPr>
            <w:tcW w:w="3187" w:type="dxa"/>
            <w:vAlign w:val="center"/>
          </w:tcPr>
          <w:p>
            <w:pPr>
              <w:adjustRightInd w:val="0"/>
              <w:snapToGrid w:val="0"/>
              <w:spacing w:line="320" w:lineRule="exact"/>
              <w:rPr>
                <w:kern w:val="0"/>
                <w:sz w:val="24"/>
                <w:szCs w:val="21"/>
              </w:rPr>
            </w:pPr>
            <w:r>
              <w:rPr>
                <w:kern w:val="0"/>
                <w:sz w:val="24"/>
                <w:szCs w:val="21"/>
              </w:rPr>
              <w:t>5.1学生教育</w:t>
            </w:r>
          </w:p>
        </w:tc>
        <w:tc>
          <w:tcPr>
            <w:tcW w:w="851" w:type="dxa"/>
            <w:vAlign w:val="center"/>
          </w:tcPr>
          <w:p>
            <w:pPr>
              <w:adjustRightInd w:val="0"/>
              <w:snapToGrid w:val="0"/>
              <w:spacing w:line="260" w:lineRule="exact"/>
              <w:ind w:firstLine="454"/>
              <w:jc w:val="left"/>
              <w:rPr>
                <w:szCs w:val="21"/>
              </w:rPr>
            </w:pPr>
          </w:p>
        </w:tc>
        <w:tc>
          <w:tcPr>
            <w:tcW w:w="1134" w:type="dxa"/>
            <w:vAlign w:val="center"/>
          </w:tcPr>
          <w:p>
            <w:pPr>
              <w:adjustRightInd w:val="0"/>
              <w:snapToGrid w:val="0"/>
              <w:spacing w:line="260" w:lineRule="exact"/>
              <w:ind w:firstLine="454"/>
              <w:jc w:val="left"/>
              <w:rPr>
                <w:szCs w:val="21"/>
              </w:rPr>
            </w:pPr>
          </w:p>
        </w:tc>
        <w:tc>
          <w:tcPr>
            <w:tcW w:w="992" w:type="dxa"/>
          </w:tcPr>
          <w:p>
            <w:pPr>
              <w:adjustRightInd w:val="0"/>
              <w:snapToGrid w:val="0"/>
              <w:spacing w:line="260" w:lineRule="exact"/>
              <w:ind w:firstLine="454"/>
              <w:jc w:val="left"/>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5.2学生管理</w:t>
            </w:r>
          </w:p>
        </w:tc>
        <w:tc>
          <w:tcPr>
            <w:tcW w:w="851" w:type="dxa"/>
            <w:vAlign w:val="center"/>
          </w:tcPr>
          <w:p>
            <w:pPr>
              <w:adjustRightInd w:val="0"/>
              <w:snapToGrid w:val="0"/>
              <w:spacing w:line="260" w:lineRule="exact"/>
              <w:ind w:firstLine="454"/>
              <w:jc w:val="left"/>
              <w:rPr>
                <w:szCs w:val="21"/>
              </w:rPr>
            </w:pPr>
          </w:p>
        </w:tc>
        <w:tc>
          <w:tcPr>
            <w:tcW w:w="1134" w:type="dxa"/>
            <w:vAlign w:val="center"/>
          </w:tcPr>
          <w:p>
            <w:pPr>
              <w:adjustRightInd w:val="0"/>
              <w:snapToGrid w:val="0"/>
              <w:spacing w:line="260" w:lineRule="exact"/>
              <w:ind w:firstLine="454"/>
              <w:jc w:val="left"/>
              <w:rPr>
                <w:szCs w:val="21"/>
              </w:rPr>
            </w:pPr>
          </w:p>
        </w:tc>
        <w:tc>
          <w:tcPr>
            <w:tcW w:w="992" w:type="dxa"/>
          </w:tcPr>
          <w:p>
            <w:pPr>
              <w:adjustRightInd w:val="0"/>
              <w:snapToGrid w:val="0"/>
              <w:spacing w:line="260" w:lineRule="exact"/>
              <w:ind w:firstLine="454"/>
              <w:jc w:val="left"/>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5.3学生服务</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vAlign w:val="center"/>
          </w:tcPr>
          <w:p>
            <w:pPr>
              <w:adjustRightInd w:val="0"/>
              <w:snapToGrid w:val="0"/>
              <w:spacing w:line="260" w:lineRule="exact"/>
              <w:ind w:firstLine="454"/>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restart"/>
            <w:vAlign w:val="center"/>
          </w:tcPr>
          <w:p>
            <w:pPr>
              <w:widowControl/>
              <w:adjustRightInd w:val="0"/>
              <w:snapToGrid w:val="0"/>
              <w:rPr>
                <w:b/>
                <w:bCs/>
                <w:kern w:val="0"/>
                <w:sz w:val="24"/>
              </w:rPr>
            </w:pPr>
            <w:r>
              <w:rPr>
                <w:b/>
                <w:bCs/>
                <w:kern w:val="0"/>
                <w:sz w:val="24"/>
              </w:rPr>
              <w:t>6.科技研究与服务社会</w:t>
            </w:r>
          </w:p>
        </w:tc>
        <w:tc>
          <w:tcPr>
            <w:tcW w:w="3187" w:type="dxa"/>
            <w:vAlign w:val="center"/>
          </w:tcPr>
          <w:p>
            <w:pPr>
              <w:adjustRightInd w:val="0"/>
              <w:snapToGrid w:val="0"/>
              <w:spacing w:line="320" w:lineRule="exact"/>
              <w:rPr>
                <w:kern w:val="0"/>
                <w:sz w:val="24"/>
                <w:szCs w:val="21"/>
              </w:rPr>
            </w:pPr>
            <w:r>
              <w:rPr>
                <w:kern w:val="0"/>
                <w:sz w:val="24"/>
                <w:szCs w:val="21"/>
              </w:rPr>
              <w:t>6.1科技研究</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vAlign w:val="center"/>
          </w:tcPr>
          <w:p>
            <w:pPr>
              <w:adjustRightInd w:val="0"/>
              <w:snapToGrid w:val="0"/>
              <w:spacing w:line="260" w:lineRule="exact"/>
              <w:ind w:firstLine="454"/>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left"/>
              <w:rPr>
                <w:szCs w:val="21"/>
              </w:rPr>
            </w:pPr>
          </w:p>
        </w:tc>
        <w:tc>
          <w:tcPr>
            <w:tcW w:w="3187" w:type="dxa"/>
            <w:vAlign w:val="center"/>
          </w:tcPr>
          <w:p>
            <w:pPr>
              <w:adjustRightInd w:val="0"/>
              <w:snapToGrid w:val="0"/>
              <w:spacing w:line="320" w:lineRule="exact"/>
              <w:rPr>
                <w:kern w:val="0"/>
                <w:sz w:val="24"/>
                <w:szCs w:val="21"/>
              </w:rPr>
            </w:pPr>
            <w:r>
              <w:rPr>
                <w:kern w:val="0"/>
                <w:sz w:val="24"/>
                <w:szCs w:val="21"/>
              </w:rPr>
              <w:t>6.2社会服务</w:t>
            </w:r>
          </w:p>
        </w:tc>
        <w:tc>
          <w:tcPr>
            <w:tcW w:w="851" w:type="dxa"/>
            <w:vAlign w:val="center"/>
          </w:tcPr>
          <w:p>
            <w:pPr>
              <w:adjustRightInd w:val="0"/>
              <w:snapToGrid w:val="0"/>
              <w:spacing w:line="260" w:lineRule="exact"/>
              <w:ind w:firstLine="454"/>
              <w:rPr>
                <w:szCs w:val="21"/>
              </w:rPr>
            </w:pPr>
          </w:p>
        </w:tc>
        <w:tc>
          <w:tcPr>
            <w:tcW w:w="1134" w:type="dxa"/>
            <w:tcBorders>
              <w:bottom w:val="single" w:color="auto" w:sz="4" w:space="0"/>
            </w:tcBorders>
            <w:vAlign w:val="center"/>
          </w:tcPr>
          <w:p>
            <w:pPr>
              <w:adjustRightInd w:val="0"/>
              <w:snapToGrid w:val="0"/>
              <w:spacing w:line="260" w:lineRule="exact"/>
              <w:ind w:firstLine="454"/>
              <w:rPr>
                <w:szCs w:val="21"/>
              </w:rPr>
            </w:pPr>
          </w:p>
        </w:tc>
        <w:tc>
          <w:tcPr>
            <w:tcW w:w="992" w:type="dxa"/>
            <w:tcBorders>
              <w:bottom w:val="single" w:color="auto" w:sz="4" w:space="0"/>
            </w:tcBorders>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restart"/>
            <w:vAlign w:val="center"/>
          </w:tcPr>
          <w:p>
            <w:pPr>
              <w:widowControl/>
              <w:adjustRightInd w:val="0"/>
              <w:snapToGrid w:val="0"/>
              <w:rPr>
                <w:b/>
                <w:bCs/>
                <w:kern w:val="0"/>
                <w:sz w:val="24"/>
              </w:rPr>
            </w:pPr>
            <w:r>
              <w:rPr>
                <w:b/>
                <w:bCs/>
                <w:kern w:val="0"/>
                <w:sz w:val="24"/>
              </w:rPr>
              <w:t>7.质量保证</w:t>
            </w:r>
          </w:p>
        </w:tc>
        <w:tc>
          <w:tcPr>
            <w:tcW w:w="3187" w:type="dxa"/>
            <w:vAlign w:val="center"/>
          </w:tcPr>
          <w:p>
            <w:pPr>
              <w:adjustRightInd w:val="0"/>
              <w:snapToGrid w:val="0"/>
              <w:spacing w:line="320" w:lineRule="exact"/>
              <w:rPr>
                <w:kern w:val="0"/>
                <w:sz w:val="24"/>
                <w:szCs w:val="21"/>
              </w:rPr>
            </w:pPr>
            <w:r>
              <w:rPr>
                <w:kern w:val="0"/>
                <w:sz w:val="24"/>
                <w:szCs w:val="21"/>
              </w:rPr>
              <w:t>7.1质量管理体制建设</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widowControl/>
              <w:adjustRightInd w:val="0"/>
              <w:snapToGrid w:val="0"/>
              <w:rPr>
                <w:b/>
                <w:bCs/>
                <w:kern w:val="0"/>
                <w:sz w:val="24"/>
              </w:rPr>
            </w:pPr>
          </w:p>
        </w:tc>
        <w:tc>
          <w:tcPr>
            <w:tcW w:w="3187" w:type="dxa"/>
            <w:vAlign w:val="center"/>
          </w:tcPr>
          <w:p>
            <w:pPr>
              <w:adjustRightInd w:val="0"/>
              <w:snapToGrid w:val="0"/>
              <w:spacing w:line="320" w:lineRule="exact"/>
              <w:rPr>
                <w:kern w:val="0"/>
                <w:sz w:val="24"/>
                <w:szCs w:val="21"/>
              </w:rPr>
            </w:pPr>
            <w:r>
              <w:rPr>
                <w:kern w:val="0"/>
                <w:sz w:val="24"/>
                <w:szCs w:val="21"/>
              </w:rPr>
              <w:t>7.2质量标准体系建设</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center"/>
              <w:rPr>
                <w:szCs w:val="21"/>
              </w:rPr>
            </w:pPr>
          </w:p>
        </w:tc>
        <w:tc>
          <w:tcPr>
            <w:tcW w:w="3187" w:type="dxa"/>
            <w:vAlign w:val="center"/>
          </w:tcPr>
          <w:p>
            <w:pPr>
              <w:adjustRightInd w:val="0"/>
              <w:snapToGrid w:val="0"/>
              <w:spacing w:line="320" w:lineRule="exact"/>
              <w:rPr>
                <w:kern w:val="0"/>
                <w:sz w:val="24"/>
                <w:szCs w:val="21"/>
              </w:rPr>
            </w:pPr>
            <w:r>
              <w:rPr>
                <w:kern w:val="0"/>
                <w:sz w:val="24"/>
                <w:szCs w:val="21"/>
              </w:rPr>
              <w:t>7.3质量诊断与改进体系建设</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adjustRightInd w:val="0"/>
              <w:snapToGrid w:val="0"/>
              <w:spacing w:line="260" w:lineRule="exact"/>
              <w:ind w:firstLine="454"/>
              <w:jc w:val="center"/>
              <w:rPr>
                <w:szCs w:val="21"/>
              </w:rPr>
            </w:pPr>
          </w:p>
        </w:tc>
        <w:tc>
          <w:tcPr>
            <w:tcW w:w="3187" w:type="dxa"/>
            <w:vAlign w:val="center"/>
          </w:tcPr>
          <w:p>
            <w:pPr>
              <w:adjustRightInd w:val="0"/>
              <w:snapToGrid w:val="0"/>
              <w:spacing w:line="320" w:lineRule="exact"/>
              <w:rPr>
                <w:kern w:val="0"/>
                <w:sz w:val="24"/>
                <w:szCs w:val="21"/>
              </w:rPr>
            </w:pPr>
            <w:r>
              <w:rPr>
                <w:kern w:val="0"/>
                <w:sz w:val="24"/>
                <w:szCs w:val="21"/>
              </w:rPr>
              <w:t>7.4建立质量报告制度</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restart"/>
            <w:vAlign w:val="center"/>
          </w:tcPr>
          <w:p>
            <w:pPr>
              <w:widowControl/>
              <w:adjustRightInd w:val="0"/>
              <w:snapToGrid w:val="0"/>
              <w:rPr>
                <w:b/>
                <w:bCs/>
                <w:kern w:val="0"/>
                <w:sz w:val="24"/>
              </w:rPr>
            </w:pPr>
            <w:r>
              <w:rPr>
                <w:b/>
                <w:bCs/>
                <w:kern w:val="0"/>
                <w:sz w:val="24"/>
              </w:rPr>
              <w:t>8.社会认同</w:t>
            </w:r>
          </w:p>
        </w:tc>
        <w:tc>
          <w:tcPr>
            <w:tcW w:w="3187" w:type="dxa"/>
            <w:vAlign w:val="center"/>
          </w:tcPr>
          <w:p>
            <w:pPr>
              <w:adjustRightInd w:val="0"/>
              <w:snapToGrid w:val="0"/>
              <w:spacing w:line="320" w:lineRule="exact"/>
              <w:rPr>
                <w:kern w:val="0"/>
                <w:sz w:val="24"/>
                <w:szCs w:val="21"/>
              </w:rPr>
            </w:pPr>
            <w:r>
              <w:rPr>
                <w:kern w:val="0"/>
                <w:sz w:val="24"/>
                <w:szCs w:val="21"/>
              </w:rPr>
              <w:t>8.1招生</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widowControl/>
              <w:adjustRightInd w:val="0"/>
              <w:snapToGrid w:val="0"/>
              <w:rPr>
                <w:b/>
                <w:bCs/>
                <w:kern w:val="0"/>
                <w:sz w:val="24"/>
              </w:rPr>
            </w:pPr>
          </w:p>
        </w:tc>
        <w:tc>
          <w:tcPr>
            <w:tcW w:w="3187" w:type="dxa"/>
            <w:vAlign w:val="center"/>
          </w:tcPr>
          <w:p>
            <w:pPr>
              <w:adjustRightInd w:val="0"/>
              <w:snapToGrid w:val="0"/>
              <w:spacing w:line="320" w:lineRule="exact"/>
              <w:rPr>
                <w:kern w:val="0"/>
                <w:sz w:val="24"/>
                <w:szCs w:val="21"/>
              </w:rPr>
            </w:pPr>
            <w:r>
              <w:rPr>
                <w:kern w:val="0"/>
                <w:sz w:val="24"/>
                <w:szCs w:val="21"/>
              </w:rPr>
              <w:t>8.2就业</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1519" w:type="dxa"/>
            <w:vMerge w:val="continue"/>
            <w:vAlign w:val="center"/>
          </w:tcPr>
          <w:p>
            <w:pPr>
              <w:widowControl/>
              <w:adjustRightInd w:val="0"/>
              <w:snapToGrid w:val="0"/>
              <w:rPr>
                <w:b/>
                <w:bCs/>
                <w:kern w:val="0"/>
                <w:sz w:val="24"/>
              </w:rPr>
            </w:pPr>
          </w:p>
        </w:tc>
        <w:tc>
          <w:tcPr>
            <w:tcW w:w="3187" w:type="dxa"/>
            <w:vAlign w:val="center"/>
          </w:tcPr>
          <w:p>
            <w:pPr>
              <w:adjustRightInd w:val="0"/>
              <w:snapToGrid w:val="0"/>
              <w:spacing w:line="320" w:lineRule="exact"/>
              <w:rPr>
                <w:kern w:val="0"/>
                <w:sz w:val="24"/>
                <w:szCs w:val="21"/>
              </w:rPr>
            </w:pPr>
            <w:r>
              <w:rPr>
                <w:kern w:val="0"/>
                <w:sz w:val="24"/>
                <w:szCs w:val="21"/>
              </w:rPr>
              <w:t>8.3服务对象评价</w:t>
            </w:r>
          </w:p>
        </w:tc>
        <w:tc>
          <w:tcPr>
            <w:tcW w:w="851" w:type="dxa"/>
            <w:vAlign w:val="center"/>
          </w:tcPr>
          <w:p>
            <w:pPr>
              <w:adjustRightInd w:val="0"/>
              <w:snapToGrid w:val="0"/>
              <w:spacing w:line="260" w:lineRule="exact"/>
              <w:ind w:firstLine="454"/>
              <w:rPr>
                <w:szCs w:val="21"/>
              </w:rPr>
            </w:pPr>
          </w:p>
        </w:tc>
        <w:tc>
          <w:tcPr>
            <w:tcW w:w="1134" w:type="dxa"/>
            <w:vAlign w:val="center"/>
          </w:tcPr>
          <w:p>
            <w:pPr>
              <w:adjustRightInd w:val="0"/>
              <w:snapToGrid w:val="0"/>
              <w:spacing w:line="260" w:lineRule="exact"/>
              <w:ind w:firstLine="454"/>
              <w:rPr>
                <w:szCs w:val="21"/>
              </w:rPr>
            </w:pPr>
          </w:p>
        </w:tc>
        <w:tc>
          <w:tcPr>
            <w:tcW w:w="992" w:type="dxa"/>
          </w:tcPr>
          <w:p>
            <w:pPr>
              <w:adjustRightInd w:val="0"/>
              <w:snapToGrid w:val="0"/>
              <w:spacing w:line="260" w:lineRule="exact"/>
              <w:ind w:firstLine="454"/>
              <w:rPr>
                <w:szCs w:val="21"/>
              </w:rPr>
            </w:pPr>
          </w:p>
        </w:tc>
      </w:tr>
    </w:tbl>
    <w:p>
      <w:pPr>
        <w:adjustRightInd w:val="0"/>
        <w:snapToGrid w:val="0"/>
        <w:spacing w:before="156" w:beforeLines="50" w:line="360" w:lineRule="auto"/>
        <w:ind w:firstLine="454"/>
        <w:jc w:val="right"/>
        <w:rPr>
          <w:b/>
          <w:bCs/>
          <w:kern w:val="0"/>
          <w:sz w:val="24"/>
        </w:rPr>
      </w:pPr>
    </w:p>
    <w:p>
      <w:pPr>
        <w:adjustRightInd w:val="0"/>
        <w:snapToGrid w:val="0"/>
        <w:spacing w:before="156" w:beforeLines="50" w:line="360" w:lineRule="auto"/>
        <w:ind w:firstLine="454"/>
        <w:jc w:val="right"/>
        <w:rPr>
          <w:b/>
          <w:sz w:val="24"/>
        </w:rPr>
      </w:pPr>
      <w:r>
        <w:rPr>
          <w:b/>
          <w:sz w:val="24"/>
        </w:rPr>
        <w:t>专家（签名）</w:t>
      </w:r>
      <w:r>
        <w:rPr>
          <w:b/>
          <w:sz w:val="24"/>
          <w:u w:val="single"/>
        </w:rPr>
        <w:t xml:space="preserve">       </w:t>
      </w:r>
      <w:r>
        <w:rPr>
          <w:b/>
          <w:sz w:val="24"/>
        </w:rPr>
        <w:t>　　      　            年    月    日</w:t>
      </w:r>
    </w:p>
    <w:p>
      <w:pPr>
        <w:adjustRightInd w:val="0"/>
        <w:snapToGrid w:val="0"/>
        <w:spacing w:line="560" w:lineRule="exact"/>
        <w:ind w:firstLine="454"/>
        <w:jc w:val="center"/>
        <w:rPr>
          <w:rFonts w:eastAsia="黑体"/>
          <w:b/>
          <w:sz w:val="32"/>
          <w:szCs w:val="32"/>
        </w:rPr>
      </w:pPr>
    </w:p>
    <w:p>
      <w:pPr>
        <w:adjustRightInd w:val="0"/>
        <w:snapToGrid w:val="0"/>
        <w:spacing w:line="560" w:lineRule="exact"/>
        <w:ind w:firstLine="454"/>
        <w:jc w:val="center"/>
        <w:rPr>
          <w:rFonts w:eastAsia="黑体"/>
          <w:b/>
          <w:kern w:val="0"/>
          <w:sz w:val="32"/>
          <w:szCs w:val="32"/>
        </w:rPr>
      </w:pPr>
      <w:r>
        <w:rPr>
          <w:rFonts w:eastAsia="黑体"/>
          <w:b/>
          <w:sz w:val="32"/>
          <w:szCs w:val="32"/>
        </w:rPr>
        <w:t>表2   专家个人工作计划表</w:t>
      </w:r>
    </w:p>
    <w:p>
      <w:pPr>
        <w:adjustRightInd w:val="0"/>
        <w:snapToGrid w:val="0"/>
        <w:ind w:firstLine="454"/>
        <w:jc w:val="center"/>
        <w:rPr>
          <w:sz w:val="32"/>
          <w:szCs w:val="32"/>
        </w:rPr>
      </w:pPr>
    </w:p>
    <w:p>
      <w:pPr>
        <w:adjustRightInd w:val="0"/>
        <w:snapToGrid w:val="0"/>
        <w:ind w:firstLine="454"/>
        <w:rPr>
          <w:b/>
          <w:sz w:val="28"/>
          <w:szCs w:val="28"/>
        </w:rPr>
      </w:pPr>
      <w:r>
        <w:rPr>
          <w:b/>
          <w:sz w:val="28"/>
          <w:szCs w:val="28"/>
        </w:rPr>
        <w:t xml:space="preserve">学校名称： </w:t>
      </w:r>
      <w:r>
        <w:rPr>
          <w:b/>
          <w:sz w:val="28"/>
          <w:szCs w:val="28"/>
          <w:u w:val="single"/>
        </w:rPr>
        <w:t xml:space="preserve">          </w:t>
      </w:r>
      <w:r>
        <w:rPr>
          <w:b/>
          <w:sz w:val="28"/>
          <w:szCs w:val="28"/>
        </w:rPr>
        <w:t xml:space="preserve">   </w:t>
      </w:r>
    </w:p>
    <w:tbl>
      <w:tblPr>
        <w:tblStyle w:val="6"/>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834"/>
        <w:gridCol w:w="1314"/>
        <w:gridCol w:w="2566"/>
        <w:gridCol w:w="129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7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454"/>
              <w:jc w:val="center"/>
              <w:rPr>
                <w:sz w:val="28"/>
                <w:szCs w:val="28"/>
              </w:rPr>
            </w:pPr>
            <w:r>
              <w:rPr>
                <w:sz w:val="28"/>
                <w:szCs w:val="28"/>
              </w:rPr>
              <w:t>日期</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54"/>
              <w:jc w:val="center"/>
              <w:rPr>
                <w:sz w:val="28"/>
                <w:szCs w:val="28"/>
              </w:rPr>
            </w:pPr>
            <w:r>
              <w:rPr>
                <w:sz w:val="28"/>
                <w:szCs w:val="28"/>
              </w:rPr>
              <w:t>时间</w:t>
            </w: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54"/>
              <w:jc w:val="center"/>
              <w:rPr>
                <w:sz w:val="28"/>
                <w:szCs w:val="28"/>
              </w:rPr>
            </w:pPr>
            <w:r>
              <w:rPr>
                <w:sz w:val="28"/>
                <w:szCs w:val="28"/>
              </w:rPr>
              <w:t>工作内容</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54"/>
              <w:jc w:val="center"/>
              <w:rPr>
                <w:sz w:val="28"/>
                <w:szCs w:val="28"/>
              </w:rPr>
            </w:pPr>
            <w:r>
              <w:rPr>
                <w:sz w:val="28"/>
                <w:szCs w:val="28"/>
              </w:rPr>
              <w:t>地点</w:t>
            </w: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54"/>
              <w:jc w:val="center"/>
              <w:rPr>
                <w:sz w:val="28"/>
                <w:szCs w:val="28"/>
              </w:rPr>
            </w:pPr>
            <w:r>
              <w:rPr>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9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8"/>
                <w:szCs w:val="28"/>
              </w:rPr>
            </w:pPr>
            <w:r>
              <w:rPr>
                <w:sz w:val="28"/>
                <w:szCs w:val="28"/>
              </w:rPr>
              <w:t>月</w:t>
            </w:r>
          </w:p>
          <w:p>
            <w:pPr>
              <w:adjustRightInd w:val="0"/>
              <w:snapToGrid w:val="0"/>
              <w:jc w:val="center"/>
              <w:rPr>
                <w:sz w:val="28"/>
                <w:szCs w:val="28"/>
              </w:rPr>
            </w:pPr>
          </w:p>
          <w:p>
            <w:pPr>
              <w:adjustRightInd w:val="0"/>
              <w:snapToGrid w:val="0"/>
              <w:jc w:val="center"/>
              <w:rPr>
                <w:sz w:val="28"/>
                <w:szCs w:val="28"/>
              </w:rPr>
            </w:pPr>
            <w:r>
              <w:rPr>
                <w:sz w:val="28"/>
                <w:szCs w:val="28"/>
              </w:rPr>
              <w:t>日</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上午</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9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下午</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9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晚上</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9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8"/>
                <w:szCs w:val="28"/>
              </w:rPr>
            </w:pPr>
            <w:r>
              <w:rPr>
                <w:sz w:val="28"/>
                <w:szCs w:val="28"/>
              </w:rPr>
              <w:t>月</w:t>
            </w:r>
          </w:p>
          <w:p>
            <w:pPr>
              <w:adjustRightInd w:val="0"/>
              <w:snapToGrid w:val="0"/>
              <w:jc w:val="center"/>
              <w:rPr>
                <w:sz w:val="28"/>
                <w:szCs w:val="28"/>
              </w:rPr>
            </w:pPr>
            <w:r>
              <w:rPr>
                <w:sz w:val="28"/>
                <w:szCs w:val="28"/>
              </w:rPr>
              <w:t xml:space="preserve">     日</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上午</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9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下午</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9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晚上</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932" w:type="dxa"/>
            <w:vMerge w:val="restart"/>
            <w:tcBorders>
              <w:top w:val="single" w:color="auto" w:sz="4" w:space="0"/>
              <w:left w:val="single" w:color="auto" w:sz="4" w:space="0"/>
              <w:right w:val="single" w:color="auto" w:sz="4" w:space="0"/>
            </w:tcBorders>
            <w:vAlign w:val="center"/>
          </w:tcPr>
          <w:p>
            <w:pPr>
              <w:adjustRightInd w:val="0"/>
              <w:snapToGrid w:val="0"/>
              <w:jc w:val="center"/>
              <w:rPr>
                <w:sz w:val="28"/>
                <w:szCs w:val="28"/>
              </w:rPr>
            </w:pPr>
            <w:r>
              <w:rPr>
                <w:sz w:val="28"/>
                <w:szCs w:val="28"/>
              </w:rPr>
              <w:t>月</w:t>
            </w:r>
          </w:p>
          <w:p>
            <w:pPr>
              <w:adjustRightInd w:val="0"/>
              <w:snapToGrid w:val="0"/>
              <w:jc w:val="center"/>
              <w:rPr>
                <w:sz w:val="28"/>
                <w:szCs w:val="28"/>
              </w:rPr>
            </w:pPr>
          </w:p>
          <w:p>
            <w:pPr>
              <w:adjustRightInd w:val="0"/>
              <w:snapToGrid w:val="0"/>
              <w:jc w:val="center"/>
              <w:rPr>
                <w:sz w:val="28"/>
                <w:szCs w:val="28"/>
              </w:rPr>
            </w:pPr>
            <w:r>
              <w:rPr>
                <w:sz w:val="28"/>
                <w:szCs w:val="28"/>
              </w:rPr>
              <w:t>日</w:t>
            </w: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上午</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932" w:type="dxa"/>
            <w:vMerge w:val="continue"/>
            <w:tcBorders>
              <w:left w:val="single" w:color="auto" w:sz="4" w:space="0"/>
              <w:right w:val="single" w:color="auto" w:sz="4" w:space="0"/>
            </w:tcBorders>
            <w:vAlign w:val="center"/>
          </w:tcPr>
          <w:p>
            <w:pPr>
              <w:widowControl/>
              <w:adjustRightInd w:val="0"/>
              <w:snapToGrid w:val="0"/>
              <w:ind w:firstLine="454"/>
              <w:jc w:val="left"/>
              <w:rPr>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下午</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exact"/>
        </w:trPr>
        <w:tc>
          <w:tcPr>
            <w:tcW w:w="932" w:type="dxa"/>
            <w:vMerge w:val="continue"/>
            <w:tcBorders>
              <w:left w:val="single" w:color="auto" w:sz="4" w:space="0"/>
              <w:bottom w:val="single" w:color="auto" w:sz="4" w:space="0"/>
              <w:right w:val="single" w:color="auto" w:sz="4" w:space="0"/>
            </w:tcBorders>
            <w:vAlign w:val="center"/>
          </w:tcPr>
          <w:p>
            <w:pPr>
              <w:widowControl/>
              <w:adjustRightInd w:val="0"/>
              <w:snapToGrid w:val="0"/>
              <w:ind w:firstLine="454"/>
              <w:jc w:val="left"/>
              <w:rPr>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sz w:val="28"/>
                <w:szCs w:val="28"/>
              </w:rPr>
              <w:t>晚上</w:t>
            </w:r>
          </w:p>
        </w:tc>
        <w:tc>
          <w:tcPr>
            <w:tcW w:w="1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25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4"/>
              <w:rPr>
                <w:sz w:val="28"/>
                <w:szCs w:val="28"/>
              </w:rPr>
            </w:pPr>
          </w:p>
        </w:tc>
      </w:tr>
    </w:tbl>
    <w:p>
      <w:pPr>
        <w:adjustRightInd w:val="0"/>
        <w:snapToGrid w:val="0"/>
        <w:rPr>
          <w:sz w:val="28"/>
          <w:szCs w:val="28"/>
        </w:rPr>
      </w:pPr>
    </w:p>
    <w:p>
      <w:pPr>
        <w:adjustRightInd w:val="0"/>
        <w:snapToGrid w:val="0"/>
        <w:ind w:firstLine="454"/>
        <w:rPr>
          <w:sz w:val="28"/>
          <w:szCs w:val="28"/>
        </w:rPr>
      </w:pPr>
      <w:r>
        <w:rPr>
          <w:sz w:val="28"/>
          <w:szCs w:val="28"/>
        </w:rPr>
        <w:t>专家（签名）：</w:t>
      </w:r>
      <w:r>
        <w:rPr>
          <w:sz w:val="28"/>
          <w:szCs w:val="28"/>
          <w:u w:val="single"/>
        </w:rPr>
        <w:t xml:space="preserve">           </w:t>
      </w:r>
      <w:r>
        <w:rPr>
          <w:sz w:val="28"/>
          <w:szCs w:val="28"/>
        </w:rPr>
        <w:t xml:space="preserve">     </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Pr>
        <w:adjustRightInd w:val="0"/>
        <w:snapToGrid w:val="0"/>
        <w:spacing w:line="560" w:lineRule="exact"/>
        <w:ind w:firstLine="454"/>
        <w:jc w:val="center"/>
        <w:rPr>
          <w:rFonts w:eastAsia="黑体"/>
          <w:b/>
          <w:kern w:val="0"/>
          <w:sz w:val="28"/>
          <w:szCs w:val="28"/>
        </w:rPr>
      </w:pPr>
      <w:r>
        <w:rPr>
          <w:sz w:val="28"/>
          <w:szCs w:val="28"/>
        </w:rPr>
        <w:br w:type="page"/>
      </w:r>
      <w:r>
        <w:rPr>
          <w:rFonts w:eastAsia="黑体"/>
          <w:b/>
          <w:sz w:val="28"/>
          <w:szCs w:val="28"/>
        </w:rPr>
        <w:t>表3  深度访谈记录表</w:t>
      </w:r>
    </w:p>
    <w:p>
      <w:pPr>
        <w:adjustRightInd w:val="0"/>
        <w:snapToGrid w:val="0"/>
        <w:ind w:firstLine="141" w:firstLineChars="50"/>
        <w:rPr>
          <w:b/>
          <w:sz w:val="28"/>
          <w:szCs w:val="28"/>
        </w:rPr>
      </w:pPr>
    </w:p>
    <w:p>
      <w:pPr>
        <w:adjustRightInd w:val="0"/>
        <w:snapToGrid w:val="0"/>
        <w:ind w:firstLine="454"/>
        <w:rPr>
          <w:b/>
          <w:sz w:val="28"/>
          <w:szCs w:val="28"/>
        </w:rPr>
      </w:pPr>
      <w:r>
        <w:rPr>
          <w:b/>
          <w:sz w:val="28"/>
          <w:szCs w:val="28"/>
        </w:rPr>
        <w:t xml:space="preserve">学校名称： </w:t>
      </w:r>
      <w:r>
        <w:rPr>
          <w:b/>
          <w:sz w:val="28"/>
          <w:szCs w:val="28"/>
          <w:u w:val="single"/>
        </w:rPr>
        <w:t xml:space="preserve">          </w:t>
      </w:r>
      <w:r>
        <w:rPr>
          <w:b/>
          <w:sz w:val="28"/>
          <w:szCs w:val="28"/>
        </w:rPr>
        <w:t xml:space="preserve">   </w:t>
      </w:r>
    </w:p>
    <w:tbl>
      <w:tblPr>
        <w:tblStyle w:val="6"/>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141"/>
        <w:gridCol w:w="1196"/>
        <w:gridCol w:w="910"/>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50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访谈主要</w:t>
            </w:r>
          </w:p>
          <w:p>
            <w:pPr>
              <w:adjustRightInd w:val="0"/>
              <w:snapToGrid w:val="0"/>
              <w:jc w:val="center"/>
              <w:rPr>
                <w:sz w:val="24"/>
              </w:rPr>
            </w:pPr>
            <w:r>
              <w:rPr>
                <w:sz w:val="24"/>
              </w:rPr>
              <w:t>议题</w:t>
            </w:r>
          </w:p>
        </w:tc>
        <w:tc>
          <w:tcPr>
            <w:tcW w:w="314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firstLine="562"/>
              <w:jc w:val="center"/>
              <w:rPr>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时间</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562"/>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15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54"/>
              <w:jc w:val="left"/>
              <w:rPr>
                <w:sz w:val="24"/>
              </w:rPr>
            </w:pPr>
          </w:p>
        </w:tc>
        <w:tc>
          <w:tcPr>
            <w:tcW w:w="31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54"/>
              <w:jc w:val="left"/>
              <w:rPr>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地点</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562"/>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15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访谈对象</w:t>
            </w:r>
          </w:p>
          <w:p>
            <w:pPr>
              <w:adjustRightInd w:val="0"/>
              <w:snapToGrid w:val="0"/>
              <w:jc w:val="center"/>
              <w:rPr>
                <w:sz w:val="24"/>
              </w:rPr>
            </w:pPr>
            <w:r>
              <w:rPr>
                <w:sz w:val="24"/>
              </w:rPr>
              <w:t>（职务）</w:t>
            </w:r>
          </w:p>
        </w:tc>
        <w:tc>
          <w:tcPr>
            <w:tcW w:w="43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562"/>
              <w:jc w:val="center"/>
              <w:rPr>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访谈形式</w:t>
            </w:r>
          </w:p>
        </w:tc>
        <w:tc>
          <w:tcPr>
            <w:tcW w:w="197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1" w:hRule="atLeast"/>
        </w:trPr>
        <w:tc>
          <w:tcPr>
            <w:tcW w:w="1508"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ind w:firstLine="562"/>
              <w:jc w:val="center"/>
              <w:rPr>
                <w:sz w:val="24"/>
              </w:rPr>
            </w:pPr>
            <w:r>
              <w:rPr>
                <w:sz w:val="24"/>
              </w:rPr>
              <w:t>主要情况与分析</w:t>
            </w:r>
          </w:p>
        </w:tc>
        <w:tc>
          <w:tcPr>
            <w:tcW w:w="7222" w:type="dxa"/>
            <w:gridSpan w:val="4"/>
            <w:tcBorders>
              <w:top w:val="single" w:color="auto" w:sz="4" w:space="0"/>
              <w:left w:val="single" w:color="auto" w:sz="4" w:space="0"/>
              <w:bottom w:val="single" w:color="auto" w:sz="4" w:space="0"/>
              <w:right w:val="single" w:color="auto" w:sz="4" w:space="0"/>
            </w:tcBorders>
          </w:tcPr>
          <w:p>
            <w:pPr>
              <w:adjustRightInd w:val="0"/>
              <w:snapToGrid w:val="0"/>
              <w:ind w:firstLine="454"/>
              <w:rPr>
                <w:sz w:val="24"/>
              </w:rPr>
            </w:pPr>
          </w:p>
          <w:p>
            <w:pPr>
              <w:adjustRightInd w:val="0"/>
              <w:snapToGrid w:val="0"/>
              <w:spacing w:line="360" w:lineRule="auto"/>
              <w:rPr>
                <w:sz w:val="24"/>
              </w:rPr>
            </w:pPr>
            <w:r>
              <w:rPr>
                <w:sz w:val="24"/>
              </w:rPr>
              <w:t>主要访谈内容：</w:t>
            </w:r>
          </w:p>
          <w:p>
            <w:pPr>
              <w:adjustRightInd w:val="0"/>
              <w:snapToGrid w:val="0"/>
              <w:spacing w:line="360" w:lineRule="auto"/>
              <w:ind w:firstLine="454"/>
              <w:rPr>
                <w:sz w:val="24"/>
              </w:rPr>
            </w:pPr>
          </w:p>
          <w:p>
            <w:pPr>
              <w:adjustRightInd w:val="0"/>
              <w:snapToGrid w:val="0"/>
              <w:spacing w:line="360" w:lineRule="auto"/>
              <w:ind w:firstLine="454"/>
              <w:rPr>
                <w:sz w:val="24"/>
              </w:rPr>
            </w:pPr>
          </w:p>
          <w:p>
            <w:pPr>
              <w:adjustRightInd w:val="0"/>
              <w:snapToGrid w:val="0"/>
              <w:spacing w:line="360" w:lineRule="auto"/>
              <w:ind w:firstLine="454"/>
              <w:rPr>
                <w:sz w:val="24"/>
              </w:rPr>
            </w:pPr>
          </w:p>
          <w:p>
            <w:pPr>
              <w:adjustRightInd w:val="0"/>
              <w:snapToGrid w:val="0"/>
              <w:spacing w:line="360" w:lineRule="auto"/>
              <w:ind w:firstLine="454"/>
              <w:rPr>
                <w:sz w:val="24"/>
              </w:rPr>
            </w:pPr>
          </w:p>
          <w:p>
            <w:pPr>
              <w:adjustRightInd w:val="0"/>
              <w:snapToGrid w:val="0"/>
              <w:spacing w:line="360" w:lineRule="auto"/>
              <w:ind w:firstLine="454"/>
              <w:rPr>
                <w:sz w:val="24"/>
              </w:rPr>
            </w:pPr>
          </w:p>
          <w:p>
            <w:pPr>
              <w:adjustRightInd w:val="0"/>
              <w:snapToGrid w:val="0"/>
              <w:spacing w:line="360" w:lineRule="auto"/>
              <w:ind w:firstLine="454"/>
              <w:rPr>
                <w:sz w:val="24"/>
              </w:rPr>
            </w:pPr>
          </w:p>
          <w:p>
            <w:pPr>
              <w:adjustRightInd w:val="0"/>
              <w:snapToGrid w:val="0"/>
              <w:spacing w:line="360" w:lineRule="auto"/>
              <w:rPr>
                <w:sz w:val="24"/>
              </w:rPr>
            </w:pPr>
            <w:r>
              <w:rPr>
                <w:sz w:val="24"/>
              </w:rPr>
              <w:t>主要问题及建议：</w:t>
            </w:r>
          </w:p>
          <w:p>
            <w:pPr>
              <w:adjustRightInd w:val="0"/>
              <w:snapToGrid w:val="0"/>
              <w:spacing w:line="360" w:lineRule="auto"/>
              <w:ind w:firstLine="480"/>
              <w:rPr>
                <w:sz w:val="24"/>
              </w:rPr>
            </w:pPr>
            <w:r>
              <w:rPr>
                <w:sz w:val="24"/>
              </w:rPr>
              <w:t xml:space="preserve">   </w:t>
            </w:r>
          </w:p>
        </w:tc>
      </w:tr>
    </w:tbl>
    <w:p>
      <w:pPr>
        <w:adjustRightInd w:val="0"/>
        <w:snapToGrid w:val="0"/>
        <w:spacing w:before="156" w:beforeLines="50"/>
        <w:ind w:firstLine="454"/>
        <w:rPr>
          <w:sz w:val="28"/>
          <w:szCs w:val="28"/>
        </w:rPr>
      </w:pPr>
    </w:p>
    <w:p>
      <w:pPr>
        <w:adjustRightInd w:val="0"/>
        <w:snapToGrid w:val="0"/>
        <w:spacing w:before="156" w:beforeLines="50"/>
        <w:ind w:firstLine="454"/>
        <w:rPr>
          <w:sz w:val="28"/>
          <w:szCs w:val="28"/>
        </w:rPr>
      </w:pPr>
    </w:p>
    <w:p>
      <w:pPr>
        <w:adjustRightInd w:val="0"/>
        <w:snapToGrid w:val="0"/>
        <w:spacing w:before="156" w:beforeLines="50"/>
        <w:ind w:firstLine="454"/>
        <w:rPr>
          <w:sz w:val="28"/>
          <w:szCs w:val="28"/>
        </w:rPr>
      </w:pPr>
      <w:r>
        <w:rPr>
          <w:sz w:val="28"/>
          <w:szCs w:val="28"/>
        </w:rPr>
        <w:t>专家（签名）：</w:t>
      </w:r>
      <w:r>
        <w:rPr>
          <w:sz w:val="28"/>
          <w:szCs w:val="28"/>
          <w:u w:val="single"/>
        </w:rPr>
        <w:t xml:space="preserve">           </w:t>
      </w:r>
      <w:r>
        <w:rPr>
          <w:sz w:val="28"/>
          <w:szCs w:val="28"/>
        </w:rPr>
        <w:t xml:space="preserve">          </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Pr>
        <w:adjustRightInd w:val="0"/>
        <w:snapToGrid w:val="0"/>
        <w:spacing w:line="560" w:lineRule="exact"/>
        <w:ind w:firstLine="454"/>
        <w:jc w:val="center"/>
        <w:rPr>
          <w:rFonts w:eastAsia="黑体"/>
          <w:b/>
          <w:sz w:val="28"/>
          <w:szCs w:val="28"/>
        </w:rPr>
      </w:pPr>
      <w:r>
        <w:rPr>
          <w:bCs/>
          <w:sz w:val="28"/>
          <w:szCs w:val="28"/>
        </w:rPr>
        <w:br w:type="page"/>
      </w:r>
      <w:r>
        <w:rPr>
          <w:rFonts w:eastAsia="黑体"/>
          <w:b/>
          <w:sz w:val="28"/>
          <w:szCs w:val="28"/>
        </w:rPr>
        <w:t>表4  专业剖析表</w:t>
      </w:r>
    </w:p>
    <w:p>
      <w:pPr>
        <w:adjustRightInd w:val="0"/>
        <w:snapToGrid w:val="0"/>
        <w:spacing w:line="560" w:lineRule="exact"/>
        <w:ind w:firstLine="454"/>
        <w:jc w:val="center"/>
        <w:rPr>
          <w:rFonts w:eastAsia="黑体"/>
          <w:b/>
          <w:sz w:val="28"/>
          <w:szCs w:val="28"/>
        </w:rPr>
      </w:pPr>
    </w:p>
    <w:p>
      <w:pPr>
        <w:widowControl/>
        <w:adjustRightInd w:val="0"/>
        <w:snapToGrid w:val="0"/>
        <w:ind w:firstLine="454"/>
        <w:rPr>
          <w:b/>
          <w:kern w:val="0"/>
          <w:sz w:val="28"/>
          <w:szCs w:val="28"/>
          <w:u w:val="single"/>
        </w:rPr>
      </w:pPr>
      <w:r>
        <w:rPr>
          <w:b/>
          <w:kern w:val="0"/>
          <w:sz w:val="28"/>
          <w:szCs w:val="28"/>
        </w:rPr>
        <w:t>学校名称：</w:t>
      </w:r>
      <w:r>
        <w:rPr>
          <w:b/>
          <w:kern w:val="0"/>
          <w:sz w:val="28"/>
          <w:szCs w:val="28"/>
          <w:u w:val="single"/>
        </w:rPr>
        <w:t xml:space="preserve">        </w:t>
      </w:r>
      <w:r>
        <w:rPr>
          <w:b/>
          <w:kern w:val="0"/>
          <w:sz w:val="28"/>
          <w:szCs w:val="28"/>
        </w:rPr>
        <w:t>专业名称</w:t>
      </w:r>
      <w:r>
        <w:rPr>
          <w:b/>
          <w:kern w:val="0"/>
          <w:sz w:val="28"/>
          <w:szCs w:val="28"/>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4" w:hRule="atLeast"/>
        </w:trPr>
        <w:tc>
          <w:tcPr>
            <w:tcW w:w="8522" w:type="dxa"/>
            <w:tcBorders>
              <w:top w:val="single" w:color="auto" w:sz="4" w:space="0"/>
              <w:left w:val="single" w:color="auto" w:sz="4" w:space="0"/>
              <w:bottom w:val="single" w:color="auto" w:sz="4" w:space="0"/>
              <w:right w:val="single" w:color="auto" w:sz="4" w:space="0"/>
            </w:tcBorders>
          </w:tcPr>
          <w:p>
            <w:pPr>
              <w:widowControl/>
              <w:adjustRightInd w:val="0"/>
              <w:snapToGrid w:val="0"/>
              <w:rPr>
                <w:kern w:val="0"/>
                <w:sz w:val="28"/>
                <w:szCs w:val="28"/>
              </w:rPr>
            </w:pPr>
            <w:r>
              <w:rPr>
                <w:kern w:val="0"/>
                <w:sz w:val="28"/>
                <w:szCs w:val="28"/>
              </w:rPr>
              <w:t>专业基本情况：</w:t>
            </w: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rPr>
                <w:kern w:val="0"/>
                <w:sz w:val="28"/>
                <w:szCs w:val="28"/>
              </w:rPr>
            </w:pPr>
            <w:r>
              <w:rPr>
                <w:kern w:val="0"/>
                <w:sz w:val="28"/>
                <w:szCs w:val="28"/>
              </w:rPr>
              <w:t>成绩与特色：</w:t>
            </w: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8522" w:type="dxa"/>
            <w:tcBorders>
              <w:top w:val="single" w:color="auto" w:sz="4" w:space="0"/>
              <w:left w:val="single" w:color="auto" w:sz="4" w:space="0"/>
              <w:bottom w:val="single" w:color="auto" w:sz="4" w:space="0"/>
              <w:right w:val="single" w:color="auto" w:sz="4" w:space="0"/>
            </w:tcBorders>
          </w:tcPr>
          <w:p>
            <w:pPr>
              <w:widowControl/>
              <w:adjustRightInd w:val="0"/>
              <w:snapToGrid w:val="0"/>
              <w:rPr>
                <w:kern w:val="0"/>
                <w:sz w:val="28"/>
                <w:szCs w:val="28"/>
              </w:rPr>
            </w:pPr>
            <w:r>
              <w:rPr>
                <w:kern w:val="0"/>
                <w:sz w:val="28"/>
                <w:szCs w:val="28"/>
              </w:rPr>
              <w:t>问题、原因分析与对策建议：</w:t>
            </w: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p>
            <w:pPr>
              <w:widowControl/>
              <w:adjustRightInd w:val="0"/>
              <w:snapToGrid w:val="0"/>
              <w:ind w:firstLine="454"/>
              <w:rPr>
                <w:b/>
                <w:kern w:val="0"/>
                <w:sz w:val="28"/>
                <w:szCs w:val="28"/>
                <w:u w:val="single"/>
              </w:rPr>
            </w:pPr>
          </w:p>
        </w:tc>
      </w:tr>
    </w:tbl>
    <w:p>
      <w:pPr>
        <w:widowControl/>
        <w:adjustRightInd w:val="0"/>
        <w:snapToGrid w:val="0"/>
        <w:ind w:firstLine="454"/>
        <w:rPr>
          <w:b/>
          <w:kern w:val="0"/>
          <w:sz w:val="28"/>
          <w:szCs w:val="28"/>
          <w:u w:val="single"/>
        </w:rPr>
      </w:pPr>
    </w:p>
    <w:p>
      <w:pPr>
        <w:adjustRightInd w:val="0"/>
        <w:snapToGrid w:val="0"/>
        <w:spacing w:before="156" w:beforeLines="50"/>
        <w:ind w:firstLine="454"/>
        <w:rPr>
          <w:b/>
          <w:sz w:val="28"/>
          <w:szCs w:val="28"/>
        </w:rPr>
      </w:pPr>
      <w:r>
        <w:rPr>
          <w:b/>
          <w:sz w:val="28"/>
          <w:szCs w:val="28"/>
        </w:rPr>
        <w:t>专家（签名）：</w:t>
      </w:r>
      <w:r>
        <w:rPr>
          <w:b/>
          <w:sz w:val="28"/>
          <w:szCs w:val="28"/>
          <w:u w:val="single"/>
        </w:rPr>
        <w:t xml:space="preserve">       </w:t>
      </w:r>
      <w:r>
        <w:rPr>
          <w:b/>
          <w:sz w:val="28"/>
          <w:szCs w:val="28"/>
        </w:rPr>
        <w:t xml:space="preserve">         </w:t>
      </w:r>
      <w:r>
        <w:rPr>
          <w:b/>
          <w:sz w:val="28"/>
          <w:szCs w:val="28"/>
          <w:u w:val="single"/>
        </w:rPr>
        <w:t xml:space="preserve">     </w:t>
      </w:r>
      <w:r>
        <w:rPr>
          <w:b/>
          <w:sz w:val="28"/>
          <w:szCs w:val="28"/>
        </w:rPr>
        <w:t xml:space="preserve"> 年 </w:t>
      </w:r>
      <w:r>
        <w:rPr>
          <w:b/>
          <w:sz w:val="28"/>
          <w:szCs w:val="28"/>
          <w:u w:val="single"/>
        </w:rPr>
        <w:t xml:space="preserve">    </w:t>
      </w:r>
      <w:r>
        <w:rPr>
          <w:b/>
          <w:sz w:val="28"/>
          <w:szCs w:val="28"/>
        </w:rPr>
        <w:t xml:space="preserve"> 月 </w:t>
      </w:r>
      <w:r>
        <w:rPr>
          <w:b/>
          <w:sz w:val="28"/>
          <w:szCs w:val="28"/>
          <w:u w:val="single"/>
        </w:rPr>
        <w:t xml:space="preserve">    </w:t>
      </w:r>
      <w:r>
        <w:rPr>
          <w:b/>
          <w:sz w:val="28"/>
          <w:szCs w:val="28"/>
        </w:rPr>
        <w:t>日</w:t>
      </w:r>
    </w:p>
    <w:p>
      <w:pPr>
        <w:adjustRightInd w:val="0"/>
        <w:snapToGrid w:val="0"/>
        <w:spacing w:line="560" w:lineRule="exact"/>
        <w:ind w:firstLine="454"/>
        <w:jc w:val="center"/>
        <w:rPr>
          <w:rFonts w:eastAsia="黑体"/>
          <w:b/>
          <w:kern w:val="0"/>
          <w:sz w:val="28"/>
          <w:szCs w:val="28"/>
        </w:rPr>
      </w:pPr>
      <w:r>
        <w:rPr>
          <w:sz w:val="28"/>
          <w:szCs w:val="28"/>
        </w:rPr>
        <w:br w:type="page"/>
      </w:r>
      <w:r>
        <w:rPr>
          <w:rFonts w:eastAsia="黑体"/>
          <w:b/>
          <w:sz w:val="28"/>
          <w:szCs w:val="28"/>
        </w:rPr>
        <w:t>表5  课程标准解读表</w:t>
      </w:r>
    </w:p>
    <w:p>
      <w:pPr>
        <w:adjustRightInd w:val="0"/>
        <w:snapToGrid w:val="0"/>
        <w:ind w:firstLine="141" w:firstLineChars="50"/>
        <w:rPr>
          <w:b/>
          <w:sz w:val="28"/>
          <w:szCs w:val="28"/>
        </w:rPr>
      </w:pPr>
    </w:p>
    <w:p>
      <w:pPr>
        <w:adjustRightInd w:val="0"/>
        <w:snapToGrid w:val="0"/>
        <w:spacing w:line="360" w:lineRule="auto"/>
        <w:ind w:firstLine="141" w:firstLineChars="50"/>
        <w:rPr>
          <w:b/>
          <w:sz w:val="28"/>
          <w:szCs w:val="28"/>
          <w:u w:val="single"/>
        </w:rPr>
      </w:pPr>
      <w:r>
        <w:rPr>
          <w:b/>
          <w:sz w:val="28"/>
          <w:szCs w:val="28"/>
        </w:rPr>
        <w:t>学校名称：</w:t>
      </w:r>
      <w:r>
        <w:rPr>
          <w:b/>
          <w:sz w:val="28"/>
          <w:szCs w:val="28"/>
          <w:u w:val="single"/>
        </w:rPr>
        <w:t xml:space="preserve">          </w:t>
      </w:r>
      <w:r>
        <w:rPr>
          <w:b/>
          <w:sz w:val="28"/>
          <w:szCs w:val="28"/>
        </w:rPr>
        <w:t xml:space="preserve">  课程名称：</w:t>
      </w:r>
      <w:r>
        <w:rPr>
          <w:b/>
          <w:sz w:val="28"/>
          <w:szCs w:val="28"/>
          <w:u w:val="single"/>
        </w:rPr>
        <w:t xml:space="preserve">             </w:t>
      </w:r>
      <w:r>
        <w:rPr>
          <w:b/>
          <w:sz w:val="28"/>
          <w:szCs w:val="28"/>
        </w:rPr>
        <w:t>所属专业：</w:t>
      </w:r>
      <w:r>
        <w:rPr>
          <w:b/>
          <w:sz w:val="28"/>
          <w:szCs w:val="28"/>
          <w:u w:val="single"/>
        </w:rPr>
        <w:t xml:space="preserve">         </w:t>
      </w:r>
    </w:p>
    <w:tbl>
      <w:tblPr>
        <w:tblStyle w:val="6"/>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6" w:hRule="atLeast"/>
          <w:jc w:val="center"/>
        </w:trPr>
        <w:tc>
          <w:tcPr>
            <w:tcW w:w="9039" w:type="dxa"/>
            <w:tcBorders>
              <w:top w:val="single" w:color="auto" w:sz="4" w:space="0"/>
              <w:left w:val="single" w:color="auto" w:sz="4" w:space="0"/>
              <w:bottom w:val="single" w:color="auto" w:sz="4" w:space="0"/>
              <w:right w:val="single" w:color="auto" w:sz="4" w:space="0"/>
            </w:tcBorders>
          </w:tcPr>
          <w:p>
            <w:pPr>
              <w:adjustRightInd w:val="0"/>
              <w:snapToGrid w:val="0"/>
              <w:ind w:firstLine="454"/>
              <w:rPr>
                <w:sz w:val="28"/>
                <w:szCs w:val="28"/>
              </w:rPr>
            </w:pPr>
          </w:p>
          <w:p>
            <w:pPr>
              <w:widowControl/>
              <w:adjustRightInd w:val="0"/>
              <w:snapToGrid w:val="0"/>
              <w:rPr>
                <w:kern w:val="0"/>
                <w:sz w:val="28"/>
                <w:szCs w:val="28"/>
              </w:rPr>
            </w:pPr>
            <w:r>
              <w:rPr>
                <w:kern w:val="0"/>
                <w:sz w:val="28"/>
                <w:szCs w:val="28"/>
              </w:rPr>
              <w:t>课程标准建设基本情况：</w:t>
            </w:r>
          </w:p>
          <w:p>
            <w:pPr>
              <w:adjustRightInd w:val="0"/>
              <w:snapToGrid w:val="0"/>
              <w:spacing w:line="360" w:lineRule="auto"/>
              <w:ind w:firstLine="560" w:firstLineChars="200"/>
              <w:rPr>
                <w:sz w:val="28"/>
                <w:szCs w:val="28"/>
              </w:rPr>
            </w:pPr>
          </w:p>
          <w:p>
            <w:pPr>
              <w:adjustRightInd w:val="0"/>
              <w:snapToGrid w:val="0"/>
              <w:spacing w:line="360" w:lineRule="auto"/>
              <w:ind w:firstLine="560" w:firstLineChars="200"/>
              <w:rPr>
                <w:sz w:val="28"/>
                <w:szCs w:val="28"/>
              </w:rPr>
            </w:pPr>
          </w:p>
          <w:p>
            <w:pPr>
              <w:adjustRightInd w:val="0"/>
              <w:snapToGrid w:val="0"/>
              <w:spacing w:line="360" w:lineRule="auto"/>
              <w:ind w:firstLine="454"/>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r>
              <w:rPr>
                <w:sz w:val="28"/>
                <w:szCs w:val="28"/>
              </w:rPr>
              <w:t>亮点和特色：</w:t>
            </w: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ind w:firstLine="454"/>
              <w:rPr>
                <w:sz w:val="28"/>
                <w:szCs w:val="28"/>
              </w:rPr>
            </w:pPr>
          </w:p>
          <w:p>
            <w:pPr>
              <w:adjustRightInd w:val="0"/>
              <w:snapToGrid w:val="0"/>
              <w:spacing w:line="360" w:lineRule="auto"/>
              <w:rPr>
                <w:sz w:val="28"/>
                <w:szCs w:val="28"/>
              </w:rPr>
            </w:pPr>
            <w:r>
              <w:rPr>
                <w:sz w:val="28"/>
                <w:szCs w:val="28"/>
              </w:rPr>
              <w:t>问题与建议：</w:t>
            </w:r>
          </w:p>
          <w:p>
            <w:pPr>
              <w:adjustRightInd w:val="0"/>
              <w:snapToGrid w:val="0"/>
              <w:spacing w:line="360" w:lineRule="auto"/>
              <w:ind w:firstLine="560" w:firstLineChars="200"/>
              <w:rPr>
                <w:sz w:val="28"/>
                <w:szCs w:val="28"/>
              </w:rPr>
            </w:pPr>
          </w:p>
        </w:tc>
      </w:tr>
    </w:tbl>
    <w:p>
      <w:pPr>
        <w:adjustRightInd w:val="0"/>
        <w:snapToGrid w:val="0"/>
        <w:ind w:firstLine="454"/>
        <w:rPr>
          <w:sz w:val="28"/>
          <w:szCs w:val="28"/>
        </w:rPr>
      </w:pPr>
    </w:p>
    <w:p>
      <w:pPr>
        <w:adjustRightInd w:val="0"/>
        <w:snapToGrid w:val="0"/>
        <w:ind w:firstLine="454"/>
        <w:rPr>
          <w:b/>
          <w:sz w:val="28"/>
          <w:szCs w:val="28"/>
        </w:rPr>
      </w:pPr>
      <w:r>
        <w:rPr>
          <w:b/>
          <w:sz w:val="28"/>
          <w:szCs w:val="28"/>
        </w:rPr>
        <w:t>专家（签名）：</w:t>
      </w:r>
      <w:r>
        <w:rPr>
          <w:b/>
          <w:sz w:val="28"/>
          <w:szCs w:val="28"/>
          <w:u w:val="single"/>
        </w:rPr>
        <w:t xml:space="preserve">            </w:t>
      </w:r>
      <w:r>
        <w:rPr>
          <w:b/>
          <w:sz w:val="28"/>
          <w:szCs w:val="28"/>
        </w:rPr>
        <w:t xml:space="preserve">          </w:t>
      </w:r>
      <w:r>
        <w:rPr>
          <w:b/>
          <w:sz w:val="28"/>
          <w:szCs w:val="28"/>
          <w:u w:val="single"/>
        </w:rPr>
        <w:t xml:space="preserve">       </w:t>
      </w:r>
      <w:r>
        <w:rPr>
          <w:b/>
          <w:sz w:val="28"/>
          <w:szCs w:val="28"/>
        </w:rPr>
        <w:t>年</w:t>
      </w:r>
      <w:r>
        <w:rPr>
          <w:b/>
          <w:sz w:val="28"/>
          <w:szCs w:val="28"/>
          <w:u w:val="single"/>
        </w:rPr>
        <w:t xml:space="preserve">     </w:t>
      </w:r>
      <w:r>
        <w:rPr>
          <w:b/>
          <w:sz w:val="28"/>
          <w:szCs w:val="28"/>
        </w:rPr>
        <w:t>月</w:t>
      </w:r>
      <w:r>
        <w:rPr>
          <w:b/>
          <w:sz w:val="28"/>
          <w:szCs w:val="28"/>
          <w:u w:val="single"/>
        </w:rPr>
        <w:t xml:space="preserve">    </w:t>
      </w:r>
      <w:r>
        <w:rPr>
          <w:b/>
          <w:sz w:val="28"/>
          <w:szCs w:val="28"/>
        </w:rPr>
        <w:t>日</w:t>
      </w:r>
    </w:p>
    <w:p>
      <w:pPr>
        <w:adjustRightInd w:val="0"/>
        <w:snapToGrid w:val="0"/>
        <w:spacing w:line="560" w:lineRule="exact"/>
        <w:ind w:firstLine="454"/>
        <w:jc w:val="center"/>
        <w:rPr>
          <w:rFonts w:eastAsia="黑体"/>
          <w:b/>
          <w:sz w:val="28"/>
          <w:szCs w:val="28"/>
        </w:rPr>
      </w:pPr>
    </w:p>
    <w:p>
      <w:pPr>
        <w:adjustRightInd w:val="0"/>
        <w:snapToGrid w:val="0"/>
        <w:spacing w:line="560" w:lineRule="exact"/>
        <w:ind w:firstLine="454"/>
        <w:jc w:val="center"/>
        <w:rPr>
          <w:rFonts w:eastAsia="黑体"/>
          <w:b/>
          <w:sz w:val="28"/>
          <w:szCs w:val="28"/>
        </w:rPr>
      </w:pPr>
    </w:p>
    <w:p>
      <w:pPr>
        <w:adjustRightInd w:val="0"/>
        <w:snapToGrid w:val="0"/>
        <w:spacing w:line="560" w:lineRule="exact"/>
        <w:ind w:firstLine="454"/>
        <w:jc w:val="center"/>
        <w:rPr>
          <w:rFonts w:eastAsia="黑体"/>
          <w:b/>
          <w:sz w:val="28"/>
          <w:szCs w:val="28"/>
        </w:rPr>
      </w:pPr>
    </w:p>
    <w:p>
      <w:pPr>
        <w:adjustRightInd w:val="0"/>
        <w:snapToGrid w:val="0"/>
        <w:spacing w:line="560" w:lineRule="exact"/>
        <w:ind w:firstLine="454"/>
        <w:jc w:val="center"/>
        <w:rPr>
          <w:rFonts w:eastAsia="黑体"/>
          <w:b/>
          <w:sz w:val="28"/>
          <w:szCs w:val="28"/>
        </w:rPr>
      </w:pPr>
    </w:p>
    <w:p>
      <w:pPr>
        <w:adjustRightInd w:val="0"/>
        <w:snapToGrid w:val="0"/>
        <w:spacing w:line="560" w:lineRule="exact"/>
        <w:ind w:firstLine="454"/>
        <w:jc w:val="center"/>
        <w:rPr>
          <w:rFonts w:eastAsia="黑体"/>
          <w:b/>
          <w:kern w:val="0"/>
          <w:sz w:val="28"/>
          <w:szCs w:val="28"/>
        </w:rPr>
      </w:pPr>
      <w:r>
        <w:rPr>
          <w:rFonts w:eastAsia="黑体"/>
          <w:b/>
          <w:sz w:val="28"/>
          <w:szCs w:val="28"/>
        </w:rPr>
        <w:t>表6  说课（听课）记录表</w:t>
      </w:r>
    </w:p>
    <w:p>
      <w:pPr>
        <w:adjustRightInd w:val="0"/>
        <w:snapToGrid w:val="0"/>
        <w:ind w:firstLine="141" w:firstLineChars="50"/>
        <w:rPr>
          <w:b/>
          <w:sz w:val="28"/>
          <w:szCs w:val="28"/>
        </w:rPr>
      </w:pPr>
    </w:p>
    <w:p>
      <w:pPr>
        <w:adjustRightInd w:val="0"/>
        <w:snapToGrid w:val="0"/>
        <w:spacing w:line="360" w:lineRule="auto"/>
        <w:ind w:firstLine="141" w:firstLineChars="50"/>
        <w:rPr>
          <w:b/>
          <w:sz w:val="28"/>
          <w:szCs w:val="28"/>
          <w:u w:val="single"/>
        </w:rPr>
      </w:pPr>
      <w:r>
        <w:rPr>
          <w:b/>
          <w:sz w:val="28"/>
          <w:szCs w:val="28"/>
        </w:rPr>
        <w:t>学校名称：</w:t>
      </w:r>
      <w:r>
        <w:rPr>
          <w:b/>
          <w:sz w:val="28"/>
          <w:szCs w:val="28"/>
          <w:u w:val="single"/>
        </w:rPr>
        <w:t xml:space="preserve">          </w:t>
      </w:r>
      <w:r>
        <w:rPr>
          <w:b/>
          <w:sz w:val="28"/>
          <w:szCs w:val="28"/>
        </w:rPr>
        <w:t xml:space="preserve">  课程名称：</w:t>
      </w:r>
      <w:r>
        <w:rPr>
          <w:b/>
          <w:sz w:val="28"/>
          <w:szCs w:val="28"/>
          <w:u w:val="single"/>
        </w:rPr>
        <w:t xml:space="preserve">                 </w:t>
      </w:r>
    </w:p>
    <w:p>
      <w:pPr>
        <w:adjustRightInd w:val="0"/>
        <w:snapToGrid w:val="0"/>
        <w:spacing w:line="360" w:lineRule="auto"/>
        <w:ind w:firstLine="141" w:firstLineChars="50"/>
        <w:rPr>
          <w:b/>
          <w:sz w:val="28"/>
          <w:szCs w:val="28"/>
        </w:rPr>
      </w:pPr>
      <w:r>
        <w:rPr>
          <w:b/>
          <w:sz w:val="28"/>
          <w:szCs w:val="28"/>
        </w:rPr>
        <w:t>所属专业：</w:t>
      </w:r>
      <w:r>
        <w:rPr>
          <w:b/>
          <w:sz w:val="28"/>
          <w:szCs w:val="28"/>
          <w:u w:val="single"/>
        </w:rPr>
        <w:t xml:space="preserve">         </w:t>
      </w:r>
      <w:r>
        <w:rPr>
          <w:b/>
          <w:sz w:val="28"/>
          <w:szCs w:val="28"/>
        </w:rPr>
        <w:t xml:space="preserve"> 教师姓名：</w:t>
      </w:r>
      <w:r>
        <w:rPr>
          <w:b/>
          <w:sz w:val="28"/>
          <w:szCs w:val="28"/>
          <w:u w:val="single"/>
        </w:rPr>
        <w:t xml:space="preserve">        </w:t>
      </w:r>
      <w:r>
        <w:rPr>
          <w:b/>
          <w:sz w:val="28"/>
          <w:szCs w:val="28"/>
        </w:rPr>
        <w:t>职称</w:t>
      </w:r>
      <w:r>
        <w:rPr>
          <w:b/>
          <w:sz w:val="28"/>
          <w:szCs w:val="28"/>
          <w:u w:val="single"/>
        </w:rPr>
        <w:t xml:space="preserve">      </w:t>
      </w:r>
      <w:r>
        <w:rPr>
          <w:b/>
          <w:sz w:val="28"/>
          <w:szCs w:val="28"/>
        </w:rPr>
        <w:t>类型</w:t>
      </w:r>
      <w:r>
        <w:rPr>
          <w:b/>
          <w:sz w:val="28"/>
          <w:szCs w:val="28"/>
          <w:vertAlign w:val="superscript"/>
        </w:rPr>
        <w:fldChar w:fldCharType="begin"/>
      </w:r>
      <w:r>
        <w:rPr>
          <w:b/>
          <w:sz w:val="28"/>
          <w:szCs w:val="28"/>
          <w:vertAlign w:val="superscript"/>
        </w:rPr>
        <w:instrText xml:space="preserve"> = 1 \* GB3 </w:instrText>
      </w:r>
      <w:r>
        <w:rPr>
          <w:b/>
          <w:sz w:val="28"/>
          <w:szCs w:val="28"/>
          <w:vertAlign w:val="superscript"/>
        </w:rPr>
        <w:fldChar w:fldCharType="separate"/>
      </w:r>
      <w:r>
        <w:rPr>
          <w:rFonts w:hint="eastAsia" w:ascii="宋体" w:hAnsi="宋体" w:cs="宋体"/>
          <w:b/>
          <w:sz w:val="28"/>
          <w:szCs w:val="28"/>
          <w:vertAlign w:val="superscript"/>
          <w:lang w:val="en-US" w:eastAsia="zh-CN"/>
        </w:rPr>
        <w:t>①</w:t>
      </w:r>
      <w:r>
        <w:rPr>
          <w:b/>
          <w:sz w:val="28"/>
          <w:szCs w:val="28"/>
          <w:vertAlign w:val="superscript"/>
        </w:rPr>
        <w:fldChar w:fldCharType="end"/>
      </w:r>
      <w:r>
        <w:rPr>
          <w:b/>
          <w:sz w:val="28"/>
          <w:szCs w:val="28"/>
          <w:u w:val="single"/>
        </w:rPr>
        <w:t xml:space="preserve">     </w:t>
      </w:r>
    </w:p>
    <w:tbl>
      <w:tblPr>
        <w:tblStyle w:val="6"/>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1" w:hRule="atLeast"/>
          <w:jc w:val="center"/>
        </w:trPr>
        <w:tc>
          <w:tcPr>
            <w:tcW w:w="9039" w:type="dxa"/>
            <w:tcBorders>
              <w:top w:val="single" w:color="auto" w:sz="4" w:space="0"/>
              <w:left w:val="single" w:color="auto" w:sz="4" w:space="0"/>
              <w:bottom w:val="single" w:color="auto" w:sz="4" w:space="0"/>
              <w:right w:val="single" w:color="auto" w:sz="4" w:space="0"/>
            </w:tcBorders>
          </w:tcPr>
          <w:p>
            <w:pPr>
              <w:adjustRightInd w:val="0"/>
              <w:snapToGrid w:val="0"/>
              <w:ind w:firstLine="454"/>
              <w:rPr>
                <w:sz w:val="28"/>
                <w:szCs w:val="28"/>
              </w:rPr>
            </w:pPr>
          </w:p>
          <w:p>
            <w:pPr>
              <w:adjustRightInd w:val="0"/>
              <w:snapToGrid w:val="0"/>
              <w:rPr>
                <w:sz w:val="28"/>
                <w:szCs w:val="28"/>
              </w:rPr>
            </w:pPr>
            <w:r>
              <w:rPr>
                <w:sz w:val="28"/>
                <w:szCs w:val="28"/>
              </w:rPr>
              <w:t>主要内容：</w:t>
            </w:r>
          </w:p>
          <w:p>
            <w:pPr>
              <w:adjustRightInd w:val="0"/>
              <w:snapToGrid w:val="0"/>
              <w:spacing w:line="360" w:lineRule="auto"/>
              <w:ind w:firstLine="560" w:firstLineChars="200"/>
              <w:rPr>
                <w:sz w:val="28"/>
                <w:szCs w:val="28"/>
              </w:rPr>
            </w:pPr>
          </w:p>
          <w:p>
            <w:pPr>
              <w:adjustRightInd w:val="0"/>
              <w:snapToGrid w:val="0"/>
              <w:spacing w:line="360" w:lineRule="auto"/>
              <w:ind w:firstLine="454"/>
              <w:rPr>
                <w:sz w:val="28"/>
                <w:szCs w:val="28"/>
              </w:rPr>
            </w:pPr>
          </w:p>
          <w:p>
            <w:pPr>
              <w:adjustRightInd w:val="0"/>
              <w:snapToGrid w:val="0"/>
              <w:spacing w:line="360" w:lineRule="auto"/>
              <w:rPr>
                <w:sz w:val="28"/>
                <w:szCs w:val="28"/>
              </w:rPr>
            </w:pPr>
            <w:r>
              <w:rPr>
                <w:sz w:val="28"/>
                <w:szCs w:val="28"/>
              </w:rPr>
              <w:t>简要评价：</w:t>
            </w:r>
          </w:p>
          <w:p>
            <w:pPr>
              <w:adjustRightInd w:val="0"/>
              <w:snapToGrid w:val="0"/>
              <w:spacing w:line="360" w:lineRule="auto"/>
              <w:ind w:firstLine="454"/>
              <w:rPr>
                <w:sz w:val="28"/>
                <w:szCs w:val="28"/>
              </w:rPr>
            </w:pPr>
          </w:p>
          <w:p>
            <w:pPr>
              <w:adjustRightInd w:val="0"/>
              <w:snapToGrid w:val="0"/>
              <w:spacing w:line="360" w:lineRule="auto"/>
              <w:ind w:firstLine="454"/>
              <w:rPr>
                <w:sz w:val="28"/>
                <w:szCs w:val="28"/>
              </w:rPr>
            </w:pPr>
          </w:p>
          <w:p>
            <w:pPr>
              <w:adjustRightInd w:val="0"/>
              <w:snapToGrid w:val="0"/>
              <w:spacing w:line="360" w:lineRule="auto"/>
              <w:ind w:firstLine="454"/>
              <w:rPr>
                <w:sz w:val="28"/>
                <w:szCs w:val="28"/>
              </w:rPr>
            </w:pPr>
          </w:p>
          <w:p>
            <w:pPr>
              <w:adjustRightInd w:val="0"/>
              <w:snapToGrid w:val="0"/>
              <w:spacing w:line="360" w:lineRule="auto"/>
              <w:ind w:firstLine="454"/>
              <w:rPr>
                <w:sz w:val="28"/>
                <w:szCs w:val="28"/>
              </w:rPr>
            </w:pPr>
          </w:p>
          <w:p>
            <w:pPr>
              <w:adjustRightInd w:val="0"/>
              <w:snapToGrid w:val="0"/>
              <w:spacing w:line="360" w:lineRule="auto"/>
              <w:rPr>
                <w:sz w:val="28"/>
                <w:szCs w:val="28"/>
              </w:rPr>
            </w:pPr>
            <w:r>
              <w:rPr>
                <w:sz w:val="28"/>
                <w:szCs w:val="28"/>
              </w:rPr>
              <w:t>问题与建议：</w:t>
            </w:r>
          </w:p>
          <w:p>
            <w:pPr>
              <w:adjustRightInd w:val="0"/>
              <w:snapToGrid w:val="0"/>
              <w:spacing w:line="360" w:lineRule="auto"/>
              <w:ind w:firstLine="560" w:firstLineChars="200"/>
              <w:rPr>
                <w:sz w:val="28"/>
                <w:szCs w:val="28"/>
              </w:rPr>
            </w:pPr>
          </w:p>
        </w:tc>
      </w:tr>
    </w:tbl>
    <w:p>
      <w:pPr>
        <w:adjustRightInd w:val="0"/>
        <w:snapToGrid w:val="0"/>
        <w:ind w:firstLine="454"/>
        <w:rPr>
          <w:sz w:val="28"/>
          <w:szCs w:val="28"/>
        </w:rPr>
      </w:pPr>
      <w:r>
        <w:rPr>
          <w:b/>
          <w:sz w:val="28"/>
          <w:szCs w:val="28"/>
        </w:rPr>
        <w:fldChar w:fldCharType="begin"/>
      </w:r>
      <w:r>
        <w:rPr>
          <w:b/>
          <w:sz w:val="28"/>
          <w:szCs w:val="28"/>
        </w:rPr>
        <w:instrText xml:space="preserve"> = 1 \* GB3 </w:instrText>
      </w:r>
      <w:r>
        <w:rPr>
          <w:b/>
          <w:sz w:val="28"/>
          <w:szCs w:val="28"/>
        </w:rPr>
        <w:fldChar w:fldCharType="separate"/>
      </w:r>
      <w:r>
        <w:rPr>
          <w:rFonts w:hint="eastAsia" w:ascii="宋体" w:hAnsi="宋体" w:cs="宋体"/>
          <w:b/>
          <w:sz w:val="28"/>
          <w:szCs w:val="28"/>
          <w:lang w:val="en-US" w:eastAsia="zh-CN"/>
        </w:rPr>
        <w:t>①</w:t>
      </w:r>
      <w:r>
        <w:rPr>
          <w:b/>
          <w:sz w:val="28"/>
          <w:szCs w:val="28"/>
        </w:rPr>
        <w:fldChar w:fldCharType="end"/>
      </w:r>
      <w:r>
        <w:rPr>
          <w:b/>
          <w:sz w:val="24"/>
        </w:rPr>
        <w:t>类型是指学校具有的4类教师，即：校内专任教师、校内兼课教师、校外兼职教师和校外兼课教师。</w:t>
      </w:r>
    </w:p>
    <w:p>
      <w:pPr>
        <w:adjustRightInd w:val="0"/>
        <w:snapToGrid w:val="0"/>
        <w:ind w:firstLine="454"/>
        <w:rPr>
          <w:sz w:val="28"/>
          <w:szCs w:val="28"/>
        </w:rPr>
      </w:pPr>
    </w:p>
    <w:p>
      <w:pPr>
        <w:adjustRightInd w:val="0"/>
        <w:snapToGrid w:val="0"/>
        <w:ind w:firstLine="454"/>
        <w:rPr>
          <w:b/>
          <w:sz w:val="28"/>
          <w:szCs w:val="28"/>
        </w:rPr>
      </w:pPr>
      <w:r>
        <w:rPr>
          <w:b/>
          <w:sz w:val="28"/>
          <w:szCs w:val="28"/>
        </w:rPr>
        <w:t>专家（签名）：</w:t>
      </w:r>
      <w:r>
        <w:rPr>
          <w:b/>
          <w:sz w:val="28"/>
          <w:szCs w:val="28"/>
          <w:u w:val="single"/>
        </w:rPr>
        <w:t xml:space="preserve">            </w:t>
      </w:r>
      <w:r>
        <w:rPr>
          <w:b/>
          <w:sz w:val="28"/>
          <w:szCs w:val="28"/>
        </w:rPr>
        <w:t xml:space="preserve">          </w:t>
      </w:r>
      <w:r>
        <w:rPr>
          <w:b/>
          <w:sz w:val="28"/>
          <w:szCs w:val="28"/>
          <w:u w:val="single"/>
        </w:rPr>
        <w:t xml:space="preserve">       </w:t>
      </w:r>
      <w:r>
        <w:rPr>
          <w:b/>
          <w:sz w:val="28"/>
          <w:szCs w:val="28"/>
        </w:rPr>
        <w:t>年</w:t>
      </w:r>
      <w:r>
        <w:rPr>
          <w:b/>
          <w:sz w:val="28"/>
          <w:szCs w:val="28"/>
          <w:u w:val="single"/>
        </w:rPr>
        <w:t xml:space="preserve">     </w:t>
      </w:r>
      <w:r>
        <w:rPr>
          <w:b/>
          <w:sz w:val="28"/>
          <w:szCs w:val="28"/>
        </w:rPr>
        <w:t>月</w:t>
      </w:r>
      <w:r>
        <w:rPr>
          <w:b/>
          <w:sz w:val="28"/>
          <w:szCs w:val="28"/>
          <w:u w:val="single"/>
        </w:rPr>
        <w:t xml:space="preserve">    </w:t>
      </w:r>
      <w:r>
        <w:rPr>
          <w:b/>
          <w:sz w:val="28"/>
          <w:szCs w:val="28"/>
        </w:rPr>
        <w:t>日</w:t>
      </w:r>
    </w:p>
    <w:p>
      <w:pPr>
        <w:adjustRightInd w:val="0"/>
        <w:snapToGrid w:val="0"/>
        <w:spacing w:line="560" w:lineRule="exact"/>
        <w:ind w:firstLine="454"/>
        <w:jc w:val="center"/>
        <w:rPr>
          <w:rFonts w:eastAsia="黑体"/>
          <w:b/>
          <w:sz w:val="28"/>
          <w:szCs w:val="28"/>
        </w:rPr>
      </w:pPr>
    </w:p>
    <w:p>
      <w:pPr>
        <w:adjustRightInd w:val="0"/>
        <w:snapToGrid w:val="0"/>
        <w:spacing w:line="560" w:lineRule="exact"/>
        <w:ind w:firstLine="454"/>
        <w:jc w:val="center"/>
        <w:rPr>
          <w:rFonts w:eastAsia="黑体"/>
          <w:b/>
          <w:sz w:val="28"/>
          <w:szCs w:val="28"/>
        </w:rPr>
      </w:pPr>
    </w:p>
    <w:p>
      <w:pPr>
        <w:adjustRightInd w:val="0"/>
        <w:snapToGrid w:val="0"/>
        <w:spacing w:line="560" w:lineRule="exact"/>
        <w:ind w:firstLine="454"/>
        <w:jc w:val="center"/>
        <w:rPr>
          <w:rFonts w:eastAsia="黑体"/>
          <w:b/>
          <w:sz w:val="28"/>
          <w:szCs w:val="28"/>
        </w:rPr>
      </w:pPr>
    </w:p>
    <w:p>
      <w:pPr>
        <w:adjustRightInd w:val="0"/>
        <w:snapToGrid w:val="0"/>
        <w:spacing w:line="560" w:lineRule="exact"/>
        <w:ind w:firstLine="454"/>
        <w:jc w:val="center"/>
        <w:rPr>
          <w:rFonts w:eastAsia="黑体"/>
          <w:b/>
          <w:sz w:val="28"/>
          <w:szCs w:val="28"/>
        </w:rPr>
      </w:pPr>
      <w:r>
        <w:rPr>
          <w:rFonts w:eastAsia="黑体"/>
          <w:b/>
          <w:sz w:val="28"/>
          <w:szCs w:val="28"/>
        </w:rPr>
        <w:t>表7  专家个人考察意见表</w:t>
      </w:r>
    </w:p>
    <w:p>
      <w:pPr>
        <w:adjustRightInd w:val="0"/>
        <w:snapToGrid w:val="0"/>
        <w:spacing w:line="560" w:lineRule="exact"/>
        <w:ind w:firstLine="454"/>
        <w:jc w:val="center"/>
        <w:rPr>
          <w:rFonts w:eastAsia="黑体"/>
          <w:b/>
          <w:kern w:val="0"/>
          <w:sz w:val="28"/>
          <w:szCs w:val="28"/>
        </w:rPr>
      </w:pPr>
    </w:p>
    <w:tbl>
      <w:tblPr>
        <w:tblStyle w:val="6"/>
        <w:tblW w:w="90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801"/>
        <w:gridCol w:w="1187"/>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bCs/>
                <w:sz w:val="24"/>
              </w:rPr>
            </w:pPr>
            <w:r>
              <w:rPr>
                <w:bCs/>
                <w:sz w:val="24"/>
              </w:rPr>
              <w:t>学校名称</w:t>
            </w:r>
          </w:p>
        </w:tc>
        <w:tc>
          <w:tcPr>
            <w:tcW w:w="3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54"/>
              <w:jc w:val="center"/>
              <w:rPr>
                <w:bCs/>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bCs/>
                <w:sz w:val="24"/>
              </w:rPr>
            </w:pPr>
            <w:r>
              <w:rPr>
                <w:bCs/>
                <w:sz w:val="24"/>
              </w:rPr>
              <w:t>评估时间</w:t>
            </w:r>
          </w:p>
        </w:tc>
        <w:tc>
          <w:tcPr>
            <w:tcW w:w="31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235" w:firstLineChars="98"/>
              <w:rPr>
                <w:rFonts w:eastAsia="仿宋_GB2312"/>
                <w:b/>
                <w:bCs/>
                <w:sz w:val="24"/>
              </w:rPr>
            </w:pPr>
            <w:r>
              <w:rPr>
                <w:bCs/>
                <w:sz w:val="24"/>
              </w:rPr>
              <w:t>年   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bCs/>
                <w:sz w:val="24"/>
              </w:rPr>
            </w:pPr>
            <w:r>
              <w:rPr>
                <w:bCs/>
                <w:sz w:val="24"/>
              </w:rPr>
              <w:t>负责项目</w:t>
            </w:r>
          </w:p>
        </w:tc>
        <w:tc>
          <w:tcPr>
            <w:tcW w:w="817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54"/>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4"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bCs/>
                <w:sz w:val="24"/>
              </w:rPr>
            </w:pPr>
            <w:r>
              <w:rPr>
                <w:bCs/>
                <w:sz w:val="24"/>
              </w:rPr>
              <w:t>工作内容</w:t>
            </w:r>
          </w:p>
        </w:tc>
        <w:tc>
          <w:tcPr>
            <w:tcW w:w="817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54"/>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8"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bCs/>
                <w:sz w:val="24"/>
              </w:rPr>
            </w:pPr>
            <w:r>
              <w:rPr>
                <w:bCs/>
                <w:sz w:val="24"/>
              </w:rPr>
              <w:t>考察综合意 见</w:t>
            </w:r>
          </w:p>
        </w:tc>
        <w:tc>
          <w:tcPr>
            <w:tcW w:w="8173"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60" w:lineRule="exact"/>
              <w:rPr>
                <w:bCs/>
                <w:sz w:val="24"/>
              </w:rPr>
            </w:pPr>
            <w:r>
              <w:rPr>
                <w:bCs/>
                <w:sz w:val="24"/>
              </w:rPr>
              <w:t>（内容包括主要成绩、问题、原因分析、对策建议等）</w:t>
            </w:r>
          </w:p>
          <w:p>
            <w:pPr>
              <w:adjustRightInd w:val="0"/>
              <w:snapToGrid w:val="0"/>
              <w:ind w:firstLine="454"/>
              <w:rPr>
                <w:bCs/>
                <w:sz w:val="24"/>
              </w:rPr>
            </w:pPr>
          </w:p>
          <w:p>
            <w:pPr>
              <w:adjustRightInd w:val="0"/>
              <w:snapToGrid w:val="0"/>
              <w:ind w:firstLine="454"/>
              <w:rPr>
                <w:bCs/>
                <w:sz w:val="24"/>
              </w:rPr>
            </w:pPr>
          </w:p>
        </w:tc>
      </w:tr>
    </w:tbl>
    <w:p>
      <w:pPr>
        <w:adjustRightInd w:val="0"/>
        <w:snapToGrid w:val="0"/>
        <w:ind w:firstLine="2160" w:firstLineChars="900"/>
        <w:rPr>
          <w:sz w:val="24"/>
        </w:rPr>
      </w:pPr>
    </w:p>
    <w:p>
      <w:pPr>
        <w:adjustRightInd w:val="0"/>
        <w:snapToGrid w:val="0"/>
        <w:ind w:firstLine="454"/>
        <w:rPr>
          <w:b/>
          <w:sz w:val="28"/>
          <w:szCs w:val="28"/>
        </w:rPr>
      </w:pPr>
      <w:r>
        <w:rPr>
          <w:b/>
          <w:sz w:val="28"/>
          <w:szCs w:val="28"/>
        </w:rPr>
        <w:t xml:space="preserve">专家（签名）：               </w:t>
      </w:r>
      <w:r>
        <w:rPr>
          <w:b/>
          <w:sz w:val="28"/>
          <w:szCs w:val="28"/>
          <w:u w:val="single"/>
        </w:rPr>
        <w:t xml:space="preserve">     </w:t>
      </w:r>
      <w:r>
        <w:rPr>
          <w:b/>
          <w:sz w:val="28"/>
          <w:szCs w:val="28"/>
        </w:rPr>
        <w:t xml:space="preserve"> 年 </w:t>
      </w:r>
      <w:r>
        <w:rPr>
          <w:b/>
          <w:sz w:val="28"/>
          <w:szCs w:val="28"/>
          <w:u w:val="single"/>
        </w:rPr>
        <w:t xml:space="preserve">    </w:t>
      </w:r>
      <w:r>
        <w:rPr>
          <w:b/>
          <w:sz w:val="28"/>
          <w:szCs w:val="28"/>
        </w:rPr>
        <w:t xml:space="preserve"> 月 </w:t>
      </w:r>
      <w:r>
        <w:rPr>
          <w:b/>
          <w:sz w:val="28"/>
          <w:szCs w:val="28"/>
          <w:u w:val="single"/>
        </w:rPr>
        <w:t xml:space="preserve">    </w:t>
      </w:r>
      <w:r>
        <w:rPr>
          <w:b/>
          <w:sz w:val="28"/>
          <w:szCs w:val="28"/>
        </w:rPr>
        <w:t>日</w:t>
      </w:r>
    </w:p>
    <w:p>
      <w:pPr>
        <w:adjustRightInd w:val="0"/>
        <w:snapToGrid w:val="0"/>
        <w:spacing w:line="360" w:lineRule="auto"/>
        <w:ind w:firstLine="454"/>
        <w:outlineLvl w:val="0"/>
        <w:rPr>
          <w:rFonts w:eastAsia="黑体"/>
          <w:b/>
          <w:sz w:val="28"/>
          <w:szCs w:val="28"/>
        </w:rPr>
      </w:pPr>
    </w:p>
    <w:p>
      <w:pPr>
        <w:adjustRightInd w:val="0"/>
        <w:snapToGrid w:val="0"/>
        <w:spacing w:line="360" w:lineRule="auto"/>
        <w:ind w:firstLine="454"/>
        <w:jc w:val="center"/>
        <w:outlineLvl w:val="0"/>
        <w:rPr>
          <w:rFonts w:eastAsia="黑体"/>
          <w:b/>
          <w:sz w:val="28"/>
          <w:szCs w:val="28"/>
        </w:rPr>
      </w:pPr>
    </w:p>
    <w:p>
      <w:pPr>
        <w:adjustRightInd w:val="0"/>
        <w:snapToGrid w:val="0"/>
        <w:spacing w:line="360" w:lineRule="auto"/>
        <w:ind w:firstLine="454"/>
        <w:jc w:val="center"/>
        <w:outlineLvl w:val="0"/>
        <w:rPr>
          <w:rFonts w:eastAsia="黑体"/>
          <w:b/>
          <w:sz w:val="28"/>
          <w:szCs w:val="28"/>
        </w:rPr>
      </w:pPr>
    </w:p>
    <w:p>
      <w:pPr>
        <w:adjustRightInd w:val="0"/>
        <w:snapToGrid w:val="0"/>
        <w:spacing w:line="360" w:lineRule="auto"/>
        <w:ind w:firstLine="454"/>
        <w:jc w:val="center"/>
        <w:outlineLvl w:val="0"/>
        <w:rPr>
          <w:rFonts w:eastAsia="黑体"/>
          <w:b/>
          <w:sz w:val="28"/>
          <w:szCs w:val="28"/>
        </w:rPr>
      </w:pPr>
    </w:p>
    <w:p>
      <w:pPr>
        <w:adjustRightInd w:val="0"/>
        <w:snapToGrid w:val="0"/>
        <w:spacing w:line="360" w:lineRule="auto"/>
        <w:ind w:firstLine="454"/>
        <w:jc w:val="center"/>
        <w:outlineLvl w:val="0"/>
        <w:rPr>
          <w:rFonts w:eastAsia="黑体"/>
          <w:b/>
          <w:sz w:val="28"/>
          <w:szCs w:val="28"/>
        </w:rPr>
      </w:pPr>
      <w:r>
        <w:rPr>
          <w:rFonts w:eastAsia="黑体"/>
          <w:b/>
          <w:sz w:val="28"/>
          <w:szCs w:val="28"/>
        </w:rPr>
        <w:t>表8  专家组表决结果汇总表</w:t>
      </w:r>
    </w:p>
    <w:p>
      <w:pPr>
        <w:adjustRightInd w:val="0"/>
        <w:snapToGrid w:val="0"/>
        <w:spacing w:line="360" w:lineRule="auto"/>
        <w:ind w:firstLine="422" w:firstLineChars="150"/>
        <w:jc w:val="center"/>
        <w:outlineLvl w:val="0"/>
        <w:rPr>
          <w:rFonts w:eastAsia="黑体"/>
          <w:b/>
          <w:sz w:val="28"/>
          <w:szCs w:val="28"/>
        </w:rPr>
      </w:pPr>
    </w:p>
    <w:tbl>
      <w:tblPr>
        <w:tblStyle w:val="6"/>
        <w:tblW w:w="8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62"/>
        <w:gridCol w:w="1662"/>
        <w:gridCol w:w="166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jc w:val="center"/>
        </w:trPr>
        <w:tc>
          <w:tcPr>
            <w:tcW w:w="1908" w:type="dxa"/>
            <w:vMerge w:val="restart"/>
            <w:tcBorders>
              <w:top w:val="single" w:color="auto" w:sz="4" w:space="0"/>
              <w:left w:val="single" w:color="auto" w:sz="4" w:space="0"/>
              <w:bottom w:val="single" w:color="auto" w:sz="4" w:space="0"/>
              <w:right w:val="single" w:color="auto" w:sz="4" w:space="0"/>
            </w:tcBorders>
          </w:tcPr>
          <w:p>
            <w:pPr>
              <w:widowControl/>
              <w:adjustRightInd w:val="0"/>
              <w:snapToGrid w:val="0"/>
              <w:spacing w:before="100" w:beforeAutospacing="1" w:after="100" w:afterAutospacing="1"/>
              <w:jc w:val="left"/>
              <w:rPr>
                <w:rFonts w:eastAsia="仿宋_GB2312"/>
                <w:kern w:val="0"/>
                <w:sz w:val="32"/>
                <w:szCs w:val="32"/>
              </w:rPr>
            </w:pPr>
            <w:r>
              <w:rPr>
                <w:rFonts w:eastAsia="仿宋_GB2312"/>
                <w:bCs/>
                <w:kern w:val="0"/>
                <w:sz w:val="32"/>
                <w:szCs w:val="32"/>
              </w:rPr>
              <w:t>学校名称：</w:t>
            </w:r>
          </w:p>
        </w:tc>
        <w:tc>
          <w:tcPr>
            <w:tcW w:w="1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eastAsia="仿宋_GB2312"/>
                <w:kern w:val="0"/>
                <w:sz w:val="32"/>
                <w:szCs w:val="32"/>
              </w:rPr>
            </w:pPr>
            <w:r>
              <w:rPr>
                <w:rFonts w:eastAsia="仿宋_GB2312"/>
                <w:bCs/>
                <w:kern w:val="0"/>
                <w:sz w:val="32"/>
                <w:szCs w:val="32"/>
              </w:rPr>
              <w:t>通过</w:t>
            </w:r>
          </w:p>
        </w:tc>
        <w:tc>
          <w:tcPr>
            <w:tcW w:w="1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eastAsia="仿宋_GB2312"/>
                <w:kern w:val="0"/>
                <w:sz w:val="32"/>
                <w:szCs w:val="32"/>
              </w:rPr>
            </w:pPr>
            <w:r>
              <w:rPr>
                <w:rFonts w:eastAsia="仿宋_GB2312"/>
                <w:bCs/>
                <w:kern w:val="0"/>
                <w:sz w:val="32"/>
                <w:szCs w:val="32"/>
              </w:rPr>
              <w:t>暂缓通过</w:t>
            </w:r>
          </w:p>
        </w:tc>
        <w:tc>
          <w:tcPr>
            <w:tcW w:w="1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eastAsia="仿宋_GB2312"/>
                <w:kern w:val="0"/>
                <w:sz w:val="32"/>
                <w:szCs w:val="32"/>
              </w:rPr>
            </w:pPr>
            <w:r>
              <w:rPr>
                <w:rFonts w:eastAsia="仿宋_GB2312"/>
                <w:bCs/>
                <w:kern w:val="0"/>
                <w:sz w:val="32"/>
                <w:szCs w:val="32"/>
              </w:rPr>
              <w:t>不通过</w:t>
            </w:r>
          </w:p>
        </w:tc>
        <w:tc>
          <w:tcPr>
            <w:tcW w:w="1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eastAsia="仿宋_GB2312"/>
                <w:kern w:val="0"/>
                <w:sz w:val="32"/>
                <w:szCs w:val="32"/>
              </w:rPr>
            </w:pPr>
            <w:r>
              <w:rPr>
                <w:rFonts w:eastAsia="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2" w:hRule="atLeast"/>
          <w:jc w:val="center"/>
        </w:trPr>
        <w:tc>
          <w:tcPr>
            <w:tcW w:w="190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54"/>
              <w:jc w:val="left"/>
              <w:rPr>
                <w:rFonts w:eastAsia="仿宋_GB2312"/>
                <w:kern w:val="0"/>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ind w:firstLine="454"/>
              <w:jc w:val="center"/>
              <w:rPr>
                <w:rFonts w:eastAsia="仿宋_GB2312"/>
                <w:kern w:val="0"/>
                <w:sz w:val="32"/>
                <w:szCs w:val="32"/>
              </w:rPr>
            </w:pPr>
          </w:p>
        </w:tc>
        <w:tc>
          <w:tcPr>
            <w:tcW w:w="1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ind w:firstLine="454"/>
              <w:jc w:val="center"/>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2" w:hRule="atLeast"/>
          <w:jc w:val="center"/>
        </w:trPr>
        <w:tc>
          <w:tcPr>
            <w:tcW w:w="8556"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54"/>
              <w:rPr>
                <w:b/>
                <w:sz w:val="28"/>
                <w:szCs w:val="28"/>
              </w:rPr>
            </w:pPr>
            <w:r>
              <w:rPr>
                <w:b/>
                <w:sz w:val="28"/>
                <w:szCs w:val="28"/>
              </w:rPr>
              <w:t>专家组评估总体结论</w:t>
            </w:r>
          </w:p>
          <w:p>
            <w:pPr>
              <w:adjustRightInd w:val="0"/>
              <w:snapToGrid w:val="0"/>
              <w:spacing w:line="360" w:lineRule="auto"/>
              <w:ind w:firstLine="454"/>
              <w:jc w:val="center"/>
              <w:rPr>
                <w:sz w:val="24"/>
              </w:rPr>
            </w:pPr>
            <w:r>
              <w:rPr>
                <w:b/>
                <w:sz w:val="28"/>
                <w:szCs w:val="28"/>
              </w:rPr>
              <w:drawing>
                <wp:inline distT="0" distB="0" distL="0" distR="0">
                  <wp:extent cx="238125" cy="2095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sz w:val="28"/>
                <w:szCs w:val="28"/>
              </w:rPr>
              <w:t>通过</w:t>
            </w:r>
            <w:r>
              <w:rPr>
                <w:b/>
                <w:sz w:val="28"/>
                <w:szCs w:val="28"/>
              </w:rPr>
              <w:t xml:space="preserve">    </w:t>
            </w:r>
            <w:r>
              <w:rPr>
                <w:b/>
                <w:sz w:val="28"/>
                <w:szCs w:val="28"/>
              </w:rPr>
              <w:drawing>
                <wp:inline distT="0" distB="0" distL="0" distR="0">
                  <wp:extent cx="238125" cy="2095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sz w:val="28"/>
                <w:szCs w:val="28"/>
              </w:rPr>
              <w:t>暂缓通过</w:t>
            </w:r>
            <w:r>
              <w:rPr>
                <w:b/>
                <w:sz w:val="28"/>
                <w:szCs w:val="28"/>
              </w:rPr>
              <w:t xml:space="preserve">    </w:t>
            </w:r>
            <w:r>
              <w:rPr>
                <w:b/>
                <w:sz w:val="28"/>
                <w:szCs w:val="28"/>
              </w:rPr>
              <w:drawing>
                <wp:inline distT="0" distB="0" distL="0" distR="0">
                  <wp:extent cx="238125" cy="2095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sz w:val="28"/>
                <w:szCs w:val="28"/>
              </w:rPr>
              <w:t>不通过</w:t>
            </w:r>
          </w:p>
          <w:p>
            <w:pPr>
              <w:widowControl/>
              <w:adjustRightInd w:val="0"/>
              <w:snapToGrid w:val="0"/>
              <w:spacing w:before="100" w:beforeAutospacing="1" w:after="100" w:afterAutospacing="1"/>
              <w:ind w:right="480" w:firstLine="454"/>
              <w:jc w:val="center"/>
              <w:rPr>
                <w:rFonts w:eastAsia="仿宋_GB2312"/>
                <w:kern w:val="0"/>
                <w:sz w:val="32"/>
                <w:szCs w:val="32"/>
              </w:rPr>
            </w:pPr>
            <w:r>
              <w:rPr>
                <w:sz w:val="24"/>
              </w:rPr>
              <w:t xml:space="preserve">                                              年　　月　　日</w:t>
            </w:r>
          </w:p>
        </w:tc>
      </w:tr>
    </w:tbl>
    <w:p>
      <w:pPr>
        <w:widowControl/>
        <w:adjustRightInd w:val="0"/>
        <w:snapToGrid w:val="0"/>
        <w:spacing w:line="360" w:lineRule="auto"/>
        <w:ind w:firstLine="480" w:firstLineChars="200"/>
        <w:rPr>
          <w:rFonts w:eastAsia="楷体_GB2312"/>
          <w:kern w:val="0"/>
          <w:sz w:val="24"/>
        </w:rPr>
      </w:pPr>
      <w:r>
        <w:rPr>
          <w:rFonts w:eastAsia="楷体_GB2312"/>
          <w:kern w:val="0"/>
          <w:sz w:val="24"/>
        </w:rPr>
        <w:t>注：“通过”、“暂缓通过”、“不通过”栏目内分别填写对应合计票数。总体结论栏目在方框内用“</w:t>
      </w:r>
      <w:r>
        <w:rPr>
          <w:rFonts w:eastAsia="楷体_GB2312"/>
          <w:b/>
          <w:sz w:val="28"/>
          <w:szCs w:val="28"/>
        </w:rPr>
        <w:drawing>
          <wp:inline distT="0" distB="0" distL="0" distR="0">
            <wp:extent cx="123825" cy="114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825" cy="114300"/>
                    </a:xfrm>
                    <a:prstGeom prst="rect">
                      <a:avLst/>
                    </a:prstGeom>
                    <a:noFill/>
                    <a:ln>
                      <a:noFill/>
                    </a:ln>
                  </pic:spPr>
                </pic:pic>
              </a:graphicData>
            </a:graphic>
          </wp:inline>
        </w:drawing>
      </w:r>
      <w:r>
        <w:rPr>
          <w:rFonts w:eastAsia="楷体_GB2312"/>
          <w:kern w:val="0"/>
          <w:sz w:val="24"/>
        </w:rPr>
        <w:t>”标注。</w:t>
      </w:r>
    </w:p>
    <w:p>
      <w:pPr>
        <w:widowControl/>
        <w:adjustRightInd w:val="0"/>
        <w:snapToGrid w:val="0"/>
        <w:spacing w:line="360" w:lineRule="auto"/>
        <w:ind w:firstLine="480" w:firstLineChars="200"/>
        <w:rPr>
          <w:rFonts w:eastAsia="楷体_GB2312"/>
          <w:kern w:val="0"/>
          <w:sz w:val="24"/>
        </w:rPr>
      </w:pPr>
    </w:p>
    <w:p>
      <w:pPr>
        <w:widowControl/>
        <w:adjustRightInd w:val="0"/>
        <w:snapToGrid w:val="0"/>
        <w:spacing w:line="360" w:lineRule="auto"/>
        <w:ind w:firstLine="480" w:firstLineChars="200"/>
        <w:rPr>
          <w:rFonts w:eastAsia="楷体_GB2312"/>
          <w:kern w:val="0"/>
          <w:sz w:val="24"/>
        </w:rPr>
      </w:pPr>
    </w:p>
    <w:p>
      <w:pPr>
        <w:widowControl/>
        <w:adjustRightInd w:val="0"/>
        <w:snapToGrid w:val="0"/>
        <w:spacing w:before="100" w:beforeAutospacing="1" w:after="100" w:afterAutospacing="1" w:line="275" w:lineRule="atLeast"/>
        <w:ind w:firstLine="454"/>
        <w:jc w:val="left"/>
        <w:rPr>
          <w:b/>
          <w:kern w:val="0"/>
          <w:sz w:val="28"/>
          <w:szCs w:val="28"/>
        </w:rPr>
      </w:pPr>
      <w:r>
        <w:rPr>
          <w:b/>
          <w:kern w:val="0"/>
          <w:sz w:val="28"/>
          <w:szCs w:val="28"/>
        </w:rPr>
        <w:t>组长、副组长（签名）：</w:t>
      </w:r>
      <w:r>
        <w:rPr>
          <w:b/>
          <w:kern w:val="0"/>
          <w:sz w:val="28"/>
          <w:szCs w:val="28"/>
          <w:u w:val="single"/>
        </w:rPr>
        <w:t xml:space="preserve">                         </w:t>
      </w:r>
      <w:r>
        <w:rPr>
          <w:b/>
          <w:kern w:val="0"/>
          <w:sz w:val="28"/>
          <w:szCs w:val="28"/>
        </w:rPr>
        <w:t xml:space="preserve">    </w:t>
      </w:r>
    </w:p>
    <w:p>
      <w:pPr>
        <w:widowControl/>
        <w:wordWrap w:val="0"/>
        <w:adjustRightInd w:val="0"/>
        <w:snapToGrid w:val="0"/>
        <w:spacing w:before="100" w:beforeAutospacing="1" w:after="100" w:afterAutospacing="1" w:line="275" w:lineRule="atLeast"/>
        <w:ind w:firstLine="454"/>
        <w:jc w:val="right"/>
        <w:rPr>
          <w:sz w:val="24"/>
        </w:rPr>
      </w:pPr>
      <w:r>
        <w:rPr>
          <w:b/>
          <w:kern w:val="0"/>
          <w:sz w:val="28"/>
          <w:szCs w:val="28"/>
          <w:u w:val="single"/>
        </w:rPr>
        <w:t xml:space="preserve">     </w:t>
      </w:r>
      <w:r>
        <w:rPr>
          <w:b/>
          <w:kern w:val="0"/>
          <w:sz w:val="28"/>
          <w:szCs w:val="28"/>
        </w:rPr>
        <w:t>年</w:t>
      </w:r>
      <w:r>
        <w:rPr>
          <w:b/>
          <w:kern w:val="0"/>
          <w:sz w:val="28"/>
          <w:szCs w:val="28"/>
          <w:u w:val="single"/>
        </w:rPr>
        <w:t xml:space="preserve">  </w:t>
      </w:r>
      <w:r>
        <w:rPr>
          <w:b/>
          <w:kern w:val="0"/>
          <w:sz w:val="28"/>
          <w:szCs w:val="28"/>
        </w:rPr>
        <w:t>月</w:t>
      </w:r>
      <w:r>
        <w:rPr>
          <w:b/>
          <w:kern w:val="0"/>
          <w:sz w:val="28"/>
          <w:szCs w:val="28"/>
          <w:u w:val="single"/>
        </w:rPr>
        <w:t xml:space="preserve">  </w:t>
      </w:r>
      <w:r>
        <w:rPr>
          <w:b/>
          <w:kern w:val="0"/>
          <w:sz w:val="28"/>
          <w:szCs w:val="28"/>
        </w:rPr>
        <w:t>日</w:t>
      </w:r>
    </w:p>
    <w:p>
      <w:pPr>
        <w:adjustRightInd w:val="0"/>
        <w:snapToGrid w:val="0"/>
        <w:spacing w:line="360" w:lineRule="auto"/>
        <w:ind w:firstLine="480"/>
        <w:rPr>
          <w:sz w:val="24"/>
        </w:rPr>
      </w:pPr>
    </w:p>
    <w:p>
      <w:pPr>
        <w:adjustRightInd w:val="0"/>
        <w:snapToGrid w:val="0"/>
        <w:spacing w:line="360" w:lineRule="auto"/>
        <w:ind w:firstLine="48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p>
    <w:pPr>
      <w:pStyle w:val="3"/>
      <w:tabs>
        <w:tab w:val="left" w:pos="311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hint="eastAsia" w:ascii="宋体" w:hAnsi="宋体"/>
        <w:sz w:val="28"/>
        <w:szCs w:val="28"/>
      </w:rPr>
      <w:t>—</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32"/>
    <w:rsid w:val="000E0241"/>
    <w:rsid w:val="00DC4E32"/>
    <w:rsid w:val="2ECE5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uiPriority w:val="99"/>
    <w:rPr>
      <w:color w:val="0000FF"/>
      <w:u w:val="single"/>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页眉 Char"/>
    <w:basedOn w:val="7"/>
    <w:link w:val="4"/>
    <w:qFormat/>
    <w:uiPriority w:val="0"/>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29</Pages>
  <Words>1963</Words>
  <Characters>11195</Characters>
  <Lines>93</Lines>
  <Paragraphs>26</Paragraphs>
  <TotalTime>15</TotalTime>
  <ScaleCrop>false</ScaleCrop>
  <LinksUpToDate>false</LinksUpToDate>
  <CharactersWithSpaces>13132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2018-12-07T06:33:00Z</dcterms:created>
  <dc:creator>JSJYT User</dc:creator>
  <cp:lastModifiedBy>抹茶拿铁换豆奶</cp:lastModifiedBy>
  <dcterms:modified xsi:type="dcterms:W3CDTF">2019-03-21T07:08:16Z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